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6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</w:r>
    </w:p>
    <w:p>
      <w:pPr>
        <w:pStyle w:val="1016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6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16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16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№_______</w:t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г. Кызыл                      </w:t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</w:r>
      <w:r>
        <w:rPr>
          <w:rFonts w:ascii="Tinos" w:hAnsi="Tinos" w:eastAsia="Tinos" w:cs="Tinos"/>
        </w:rPr>
        <w:tab/>
        <w:t xml:space="preserve">                                     «___»__________20__ г.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АО «Россети Сибирь Тываэнерго»</w:t>
      </w:r>
      <w:r>
        <w:rPr>
          <w:rFonts w:ascii="Tinos" w:hAnsi="Tinos" w:eastAsia="Tinos" w:cs="Tinos"/>
        </w:rPr>
        <w:t xml:space="preserve">, именуемое в дальнейшем </w:t>
      </w:r>
      <w:r>
        <w:rPr>
          <w:rFonts w:ascii="Tinos" w:hAnsi="Tinos" w:eastAsia="Tinos" w:cs="Tinos"/>
          <w:b/>
          <w:bCs/>
        </w:rPr>
        <w:t xml:space="preserve">«Покупатель», </w:t>
      </w:r>
      <w:r>
        <w:rPr>
          <w:rFonts w:ascii="Tinos" w:hAnsi="Tinos" w:eastAsia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</w:rPr>
        <w:t xml:space="preserve">№ 00/152 от 22.04.2025 г.</w:t>
      </w:r>
      <w:r>
        <w:rPr>
          <w:rFonts w:ascii="Tinos" w:hAnsi="Tinos" w:eastAsia="Tinos" w:cs="Tinos"/>
        </w:rPr>
        <w:t xml:space="preserve"> с одной стороны; и , _______, именуемое в дальне</w:t>
      </w:r>
      <w:r>
        <w:rPr>
          <w:rFonts w:ascii="Tinos" w:hAnsi="Tinos" w:eastAsia="Tinos" w:cs="Tinos"/>
        </w:rPr>
        <w:t xml:space="preserve">йшем </w:t>
      </w:r>
      <w:r>
        <w:rPr>
          <w:rFonts w:ascii="Tinos" w:hAnsi="Tinos" w:eastAsia="Tinos" w:cs="Tinos"/>
          <w:b/>
          <w:bCs/>
        </w:rPr>
        <w:t xml:space="preserve">«Поставщик»</w:t>
      </w:r>
      <w:r>
        <w:rPr>
          <w:rFonts w:ascii="Tinos" w:hAnsi="Tinos" w:eastAsia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nos" w:hAnsi="Tinos" w:cs="Tinos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Предмет Догово</w:t>
      </w:r>
      <w:r>
        <w:rPr>
          <w:rFonts w:ascii="Tinos" w:hAnsi="Tinos" w:eastAsia="Tinos" w:cs="Tinos"/>
          <w:b/>
        </w:rPr>
        <w:t xml:space="preserve">ра</w:t>
      </w:r>
      <w:r>
        <w:rPr>
          <w:rFonts w:ascii="Tinos" w:hAnsi="Tinos" w:cs="Tinos"/>
          <w:b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bCs/>
        </w:rPr>
        <w:t xml:space="preserve"> </w:t>
      </w:r>
      <w:r>
        <w:rPr>
          <w:rFonts w:ascii="Tinos" w:hAnsi="Tinos" w:eastAsia="Tinos" w:cs="Tinos"/>
        </w:rPr>
        <w:t xml:space="preserve">неизолированный провод (далее Продукция) в ассортименте, количестве, качестве, в сроки и по ценам, оговоренным Сторонами в Спецификации (Приложение № 1), являющейся неотъемле</w:t>
      </w:r>
      <w:r>
        <w:rPr>
          <w:rFonts w:ascii="Tinos" w:hAnsi="Tinos" w:eastAsia="Tinos" w:cs="Tinos"/>
        </w:rPr>
        <w:t xml:space="preserve">мой частью настоящего Договора.</w:t>
      </w:r>
      <w:r>
        <w:rPr>
          <w:rFonts w:ascii="Tinos" w:hAnsi="Tinos" w:cs="Tinos"/>
          <w:b/>
        </w:rPr>
      </w:r>
    </w:p>
    <w:p>
      <w:pPr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Характеристики и требования к поставляемой Продукции представлены в Приложении № 5 к настоящему</w:t>
      </w:r>
      <w:r>
        <w:rPr>
          <w:rFonts w:ascii="Tinos" w:hAnsi="Tinos" w:eastAsia="Tinos" w:cs="Tinos"/>
        </w:rPr>
        <w:t xml:space="preserve"> Договору поставки.</w:t>
      </w:r>
      <w:r>
        <w:rPr>
          <w:rFonts w:ascii="Tinos" w:hAnsi="Tinos" w:cs="Tinos"/>
        </w:rPr>
      </w:r>
    </w:p>
    <w:p>
      <w:pPr>
        <w:pStyle w:val="1019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hAnsi="Tinos" w:eastAsia="Tinos" w:cs="Tinos"/>
          <w:sz w:val="22"/>
          <w:szCs w:val="22"/>
        </w:rPr>
        <w:t xml:space="preserve"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Цена и порядок расчётов</w:t>
      </w:r>
      <w:r>
        <w:rPr>
          <w:rFonts w:ascii="Tinos" w:hAnsi="Tinos" w:cs="Tinos"/>
          <w:b/>
        </w:rPr>
      </w:r>
    </w:p>
    <w:p>
      <w:pPr>
        <w:pStyle w:val="102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r/>
      <w:bookmarkEnd w:id="0"/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</w:t>
      </w:r>
      <w:r>
        <w:rPr>
          <w:rFonts w:ascii="Tinos" w:hAnsi="Tinos" w:eastAsia="Tinos" w:cs="Tinos"/>
          <w:sz w:val="22"/>
          <w:szCs w:val="22"/>
        </w:rPr>
        <w:t xml:space="preserve">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</w:t>
      </w:r>
      <w:r>
        <w:rPr>
          <w:rFonts w:ascii="Tinos" w:hAnsi="Tinos" w:eastAsia="Tinos" w:cs="Tinos"/>
          <w:sz w:val="22"/>
          <w:szCs w:val="22"/>
        </w:rPr>
        <w:t xml:space="preserve">менению в течение срока его действия. 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</w:t>
      </w:r>
      <w:r>
        <w:rPr>
          <w:rFonts w:ascii="Tinos" w:hAnsi="Tinos" w:eastAsia="Tinos" w:cs="Tinos"/>
          <w:sz w:val="22"/>
          <w:szCs w:val="22"/>
        </w:rPr>
        <w:t xml:space="preserve">о соглашения к настоящему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</w:t>
      </w:r>
      <w:r>
        <w:rPr>
          <w:rFonts w:ascii="Tinos" w:hAnsi="Tinos" w:eastAsia="Tinos" w:cs="Tinos"/>
          <w:sz w:val="22"/>
          <w:szCs w:val="22"/>
        </w:rPr>
        <w:t xml:space="preserve">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</w:t>
      </w:r>
      <w:r>
        <w:rPr>
          <w:rFonts w:ascii="Tinos" w:hAnsi="Tinos" w:eastAsia="Tinos" w:cs="Tinos"/>
          <w:sz w:val="22"/>
          <w:szCs w:val="22"/>
        </w:rPr>
        <w:t xml:space="preserve">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оглашению сторон с оформлением новой Спецификации.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со дня получения Покупателем Продукции в полном объеме, указанном в Спецификации (Приложение № 1),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3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</w:t>
      </w:r>
      <w:r>
        <w:rPr>
          <w:rFonts w:ascii="Tinos" w:hAnsi="Tinos" w:eastAsia="Tinos" w:cs="Tinos"/>
          <w:sz w:val="22"/>
          <w:szCs w:val="22"/>
        </w:rPr>
        <w:t xml:space="preserve">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</w:t>
      </w:r>
      <w:r>
        <w:rPr>
          <w:rFonts w:ascii="Tinos" w:hAnsi="Tinos" w:eastAsia="Tinos" w:cs="Tinos"/>
          <w:sz w:val="22"/>
          <w:szCs w:val="22"/>
        </w:rPr>
        <w:t xml:space="preserve">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</w:t>
      </w:r>
      <w:r>
        <w:rPr>
          <w:rFonts w:ascii="Tinos" w:hAnsi="Tinos" w:eastAsia="Tinos" w:cs="Tinos"/>
          <w:sz w:val="22"/>
          <w:szCs w:val="22"/>
        </w:rPr>
        <w:t xml:space="preserve">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</w:t>
      </w:r>
      <w:r>
        <w:rPr>
          <w:rFonts w:ascii="Tinos" w:hAnsi="Tinos" w:eastAsia="Tinos" w:cs="Tinos"/>
          <w:sz w:val="22"/>
          <w:szCs w:val="22"/>
        </w:rPr>
        <w:t xml:space="preserve">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</w:t>
      </w:r>
      <w:r>
        <w:rPr>
          <w:rFonts w:ascii="Tinos" w:hAnsi="Tinos" w:eastAsia="Tinos" w:cs="Tinos"/>
          <w:sz w:val="22"/>
          <w:szCs w:val="22"/>
        </w:rPr>
        <w:t xml:space="preserve">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</w:t>
      </w:r>
      <w:r>
        <w:rPr>
          <w:rFonts w:ascii="Tinos" w:hAnsi="Tinos" w:eastAsia="Tinos" w:cs="Tinos"/>
          <w:sz w:val="22"/>
          <w:szCs w:val="22"/>
        </w:rPr>
        <w:t xml:space="preserve">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</w:t>
      </w: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hAnsi="Tinos" w:eastAsia="Tinos" w:cs="Tinos"/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</w:t>
      </w:r>
      <w:r>
        <w:rPr>
          <w:rFonts w:ascii="Tinos" w:hAnsi="Tinos" w:eastAsia="Tinos" w:cs="Tinos"/>
          <w:sz w:val="22"/>
          <w:szCs w:val="22"/>
        </w:rPr>
        <w:t xml:space="preserve"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</w:t>
      </w:r>
      <w:r>
        <w:rPr>
          <w:rFonts w:ascii="Tinos" w:hAnsi="Tinos" w:eastAsia="Tinos" w:cs="Tinos"/>
          <w:sz w:val="22"/>
          <w:szCs w:val="22"/>
        </w:rPr>
        <w:t xml:space="preserve">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</w:t>
      </w:r>
      <w:r>
        <w:rPr>
          <w:rFonts w:ascii="Tinos" w:hAnsi="Tinos" w:eastAsia="Tinos" w:cs="Tinos"/>
          <w:sz w:val="22"/>
          <w:szCs w:val="22"/>
        </w:rPr>
        <w:t xml:space="preserve">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</w:t>
      </w:r>
      <w:r>
        <w:rPr>
          <w:rFonts w:ascii="Tinos" w:hAnsi="Tinos" w:eastAsia="Tinos" w:cs="Tinos"/>
          <w:sz w:val="22"/>
          <w:szCs w:val="22"/>
        </w:rPr>
        <w:t xml:space="preserve">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</w:t>
      </w:r>
      <w:r>
        <w:rPr>
          <w:rFonts w:ascii="Tinos" w:hAnsi="Tinos" w:eastAsia="Tinos" w:cs="Tinos"/>
          <w:sz w:val="22"/>
          <w:szCs w:val="22"/>
        </w:rPr>
        <w:t xml:space="preserve">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</w:t>
      </w:r>
      <w:r>
        <w:rPr>
          <w:rFonts w:ascii="Tinos" w:hAnsi="Tinos" w:eastAsia="Tinos" w:cs="Tinos"/>
          <w:sz w:val="22"/>
          <w:szCs w:val="22"/>
        </w:rPr>
        <w:t xml:space="preserve">тельств Покупателя по оплате.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</w:t>
      </w:r>
      <w:r>
        <w:rPr>
          <w:rFonts w:ascii="Tinos" w:hAnsi="Tinos" w:eastAsia="Tinos" w:cs="Tinos"/>
          <w:sz w:val="22"/>
          <w:szCs w:val="22"/>
        </w:rPr>
        <w:t xml:space="preserve"> подтверждающие наличие сопоставимых сделок с независимыми лицами</w:t>
      </w:r>
      <w:r>
        <w:rPr>
          <w:rStyle w:val="1032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3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3. Сроки и порядок поставки</w:t>
      </w:r>
      <w:r>
        <w:rPr>
          <w:rFonts w:ascii="Tinos" w:hAnsi="Tinos" w:cs="Tinos"/>
          <w:b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Срок поставки: в период с 01.04.2026 г. по 30.04.2026 г.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highlight w:val="white"/>
        </w:rPr>
        <w:t xml:space="preserve"> Место (объект) поставки: </w:t>
      </w:r>
      <w:r>
        <w:rPr>
          <w:rFonts w:ascii="Tinos" w:hAnsi="Tinos" w:eastAsia="Tinos" w:cs="Tinos"/>
          <w:highlight w:val="white"/>
        </w:rPr>
        <w:t xml:space="preserve">667004, Республика Тыва, г. Кызыл, ул. Колхозная 2</w:t>
      </w:r>
      <w:r>
        <w:rPr>
          <w:rFonts w:ascii="Tinos" w:hAnsi="Tinos" w:eastAsia="Tinos" w:cs="Tinos"/>
        </w:rPr>
        <w:t xml:space="preserve">Б, Центральный склад </w:t>
      </w:r>
      <w:r>
        <w:rPr>
          <w:rFonts w:ascii="Tinos" w:hAnsi="Tinos" w:eastAsia="Tinos" w:cs="Tinos"/>
        </w:rPr>
        <w:t xml:space="preserve">АО «Россети Сибирь Тываэнерго».</w:t>
      </w:r>
      <w:r>
        <w:rPr>
          <w:rFonts w:ascii="Tinos" w:hAnsi="Tinos" w:cs="Tinos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Способ поставки: поставка осуществляется</w:t>
      </w:r>
      <w:r>
        <w:rPr>
          <w:rFonts w:ascii="Tinos" w:hAnsi="Tinos" w:eastAsia="Tinos" w:cs="Tinos"/>
        </w:rPr>
        <w:t xml:space="preserve"> транспортом за счет средств Поставщика.</w:t>
      </w:r>
      <w:r>
        <w:rPr>
          <w:rFonts w:ascii="Tinos" w:hAnsi="Tinos" w:cs="Tinos"/>
        </w:rPr>
      </w:r>
    </w:p>
    <w:p>
      <w:pPr>
        <w:pStyle w:val="101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</w:p>
    <w:p>
      <w:pPr>
        <w:pStyle w:val="101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</w:t>
      </w:r>
      <w:r>
        <w:rPr>
          <w:rFonts w:ascii="Tinos" w:hAnsi="Tinos" w:eastAsia="Tinos" w:cs="Tinos"/>
          <w:sz w:val="22"/>
          <w:szCs w:val="22"/>
        </w:rPr>
        <w:t xml:space="preserve">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Датой поставки (отгрузки) Продукции считается: дата подписания товарной накладной со стороны Покупателя (при самовывозе автотран</w:t>
      </w:r>
      <w:r>
        <w:rPr>
          <w:rFonts w:ascii="Tinos" w:hAnsi="Tinos" w:eastAsia="Tinos" w:cs="Tinos"/>
          <w:sz w:val="22"/>
          <w:szCs w:val="22"/>
        </w:rPr>
        <w:t xml:space="preserve">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ind w:right="40" w:firstLine="0"/>
        <w:spacing w:before="0" w:after="0" w:line="17" w:lineRule="atLeast"/>
        <w:widowControl w:val="off"/>
        <w:tabs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</w:t>
      </w:r>
      <w:r>
        <w:rPr>
          <w:rFonts w:ascii="Tinos" w:hAnsi="Tinos" w:eastAsia="Tinos" w:cs="Tinos"/>
          <w:sz w:val="22"/>
          <w:szCs w:val="22"/>
        </w:rPr>
        <w:t xml:space="preserve">ПД.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</w:t>
      </w:r>
      <w:r>
        <w:rPr>
          <w:rFonts w:ascii="Tinos" w:hAnsi="Tinos" w:eastAsia="Tinos" w:cs="Tinos"/>
          <w:sz w:val="22"/>
          <w:szCs w:val="22"/>
        </w:rPr>
        <w:t xml:space="preserve">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</w:t>
      </w:r>
      <w:r>
        <w:rPr>
          <w:rFonts w:ascii="Tinos" w:hAnsi="Tinos" w:eastAsia="Tinos" w:cs="Tinos"/>
          <w:sz w:val="22"/>
          <w:szCs w:val="22"/>
        </w:rPr>
        <w:t xml:space="preserve"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hAnsi="Tinos" w:eastAsia="Tinos" w:cs="Tinos"/>
          <w:sz w:val="22"/>
          <w:szCs w:val="22"/>
        </w:rPr>
        <w:t xml:space="preserve"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4. Качество и порядок приемки Продукции</w:t>
      </w:r>
      <w:r>
        <w:rPr>
          <w:rFonts w:ascii="Tinos" w:hAnsi="Tinos" w:cs="Tinos"/>
          <w:b/>
        </w:rPr>
      </w:r>
    </w:p>
    <w:p>
      <w:pPr>
        <w:pStyle w:val="1047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Поставляемая Продукция должна быть экол</w:t>
      </w:r>
      <w:r>
        <w:rPr>
          <w:rFonts w:ascii="Tinos" w:hAnsi="Tinos" w:eastAsia="Tinos" w:cs="Tinos"/>
        </w:rPr>
        <w:t xml:space="preserve">огически безопасной и по своему качеству должна соответствовать наименованию и характеристикам, указанным в Спецификации (Приложение № 1) и в Приложении № 5 к настоящему Договору, должна быть изготовлена в год поставки или предшествующий ему и быть ранее н</w:t>
      </w:r>
      <w:r>
        <w:rPr>
          <w:rFonts w:ascii="Tinos" w:hAnsi="Tinos" w:eastAsia="Tinos" w:cs="Tinos"/>
        </w:rPr>
        <w:t xml:space="preserve">е использованной.</w:t>
      </w:r>
      <w:r>
        <w:rPr>
          <w:rFonts w:ascii="Tinos" w:hAnsi="Tinos" w:cs="Tinos"/>
        </w:rPr>
      </w:r>
    </w:p>
    <w:p>
      <w:pPr>
        <w:pStyle w:val="1047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Продукция должна соответствовать требованиям: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Положения ПАО «Россети» О единой технической политике в электросетевом комплексе;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Действующим в РФ нормативным документам</w:t>
      </w:r>
      <w:r>
        <w:rPr>
          <w:rFonts w:ascii="Tinos" w:hAnsi="Tinos" w:eastAsia="Tinos" w:cs="Tinos"/>
        </w:rPr>
        <w:t xml:space="preserve">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Наличие сервисного центра предприятия-производителя в РФ.</w:t>
      </w:r>
      <w:r>
        <w:rPr>
          <w:rFonts w:ascii="Tinos" w:hAnsi="Tinos" w:cs="Tinos"/>
        </w:rPr>
      </w:r>
    </w:p>
    <w:p>
      <w:pPr>
        <w:pStyle w:val="1047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Продукция д</w:t>
      </w:r>
      <w:r>
        <w:rPr>
          <w:rFonts w:ascii="Tinos" w:hAnsi="Tinos" w:eastAsia="Tinos" w:cs="Tinos"/>
        </w:rPr>
        <w:t xml:space="preserve">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nos" w:hAnsi="Tinos" w:cs="Tinos"/>
        </w:rPr>
      </w:r>
    </w:p>
    <w:p>
      <w:pPr>
        <w:pStyle w:val="1047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Упаковка, маркировка, временная антикоррозионная защита, условия транспор</w:t>
      </w:r>
      <w:r>
        <w:rPr>
          <w:rFonts w:ascii="Tinos" w:hAnsi="Tinos" w:eastAsia="Tinos" w:cs="Tinos"/>
        </w:rPr>
        <w:t xml:space="preserve">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</w:t>
      </w:r>
      <w:r>
        <w:rPr>
          <w:rFonts w:ascii="Tinos" w:hAnsi="Tinos" w:eastAsia="Tinos" w:cs="Tinos"/>
        </w:rPr>
        <w:t xml:space="preserve">ребованиям ГОСТ 839-2019 и др. нормативно-технической документации.  </w:t>
      </w:r>
      <w:r>
        <w:rPr>
          <w:rFonts w:ascii="Tinos" w:hAnsi="Tinos" w:cs="Tinos"/>
        </w:rPr>
      </w:r>
    </w:p>
    <w:p>
      <w:pPr>
        <w:pStyle w:val="1047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nos" w:hAnsi="Tinos" w:eastAsia="Tinos" w:cs="Tinos"/>
          <w:lang w:eastAsia="en-US"/>
        </w:rPr>
        <w:t xml:space="preserve"> </w:t>
      </w:r>
      <w:r>
        <w:rPr>
          <w:rFonts w:ascii="Tinos" w:hAnsi="Tinos" w:eastAsia="Tinos" w:cs="Tinos"/>
        </w:rPr>
        <w:t xml:space="preserve">должна быть рассчитана на эксплуатацию в непрерывно</w:t>
      </w:r>
      <w:r>
        <w:rPr>
          <w:rFonts w:ascii="Tinos" w:hAnsi="Tinos" w:eastAsia="Tinos" w:cs="Tinos"/>
        </w:rPr>
        <w:t xml:space="preserve">м режиме круглосуточно в заданных условиях в течение установленного срока службы.</w:t>
      </w:r>
      <w:r>
        <w:rPr>
          <w:rFonts w:ascii="Tinos" w:hAnsi="Tinos" w:cs="Tinos"/>
        </w:rPr>
      </w:r>
    </w:p>
    <w:p>
      <w:pPr>
        <w:pStyle w:val="1047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iCs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</w:t>
      </w:r>
      <w:r>
        <w:rPr>
          <w:rFonts w:ascii="Tinos" w:hAnsi="Tinos" w:eastAsia="Tinos" w:cs="Tinos"/>
          <w:iCs/>
        </w:rPr>
        <w:t xml:space="preserve">значения и сохраняться на весь срок службы поставляемой продукции.</w:t>
      </w:r>
      <w:r>
        <w:rPr>
          <w:rFonts w:ascii="Tinos" w:hAnsi="Tinos" w:cs="Tinos"/>
        </w:rPr>
      </w:r>
    </w:p>
    <w:p>
      <w:pPr>
        <w:pStyle w:val="1047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Срок гарантии на поставляемые материалы и обору</w:t>
      </w:r>
      <w:r>
        <w:rPr>
          <w:rFonts w:ascii="Tinos" w:hAnsi="Tinos" w:eastAsia="Tinos" w:cs="Tinos"/>
        </w:rPr>
        <w:t xml:space="preserve">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  <w:r>
        <w:rPr>
          <w:rFonts w:ascii="Tinos" w:hAnsi="Tinos" w:cs="Tinos"/>
        </w:rPr>
      </w:r>
    </w:p>
    <w:p>
      <w:pPr>
        <w:pStyle w:val="1047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должен за свой счет и сроки, согласованные с Покупателем, устранять любые дефекты в поставляемом обо</w:t>
      </w:r>
      <w:r>
        <w:rPr>
          <w:rFonts w:ascii="Tinos" w:hAnsi="Tinos" w:eastAsia="Tinos" w:cs="Tinos"/>
        </w:rPr>
        <w:t xml:space="preserve">рудовании, материалах, выявленные в течение гарантийного срока.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</w:t>
      </w:r>
      <w:r>
        <w:rPr>
          <w:rFonts w:ascii="Tinos" w:hAnsi="Tinos" w:eastAsia="Tinos" w:cs="Tinos"/>
        </w:rPr>
        <w:t xml:space="preserve">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Если Поставщик, получив уведомление, не испра</w:t>
      </w:r>
      <w:r>
        <w:rPr>
          <w:rFonts w:ascii="Tinos" w:hAnsi="Tinos" w:eastAsia="Tinos" w:cs="Tinos"/>
        </w:rPr>
        <w:t xml:space="preserve">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</w:t>
      </w:r>
      <w:r>
        <w:rPr>
          <w:rFonts w:ascii="Tinos" w:hAnsi="Tinos" w:eastAsia="Tinos" w:cs="Tinos"/>
        </w:rPr>
        <w:t xml:space="preserve">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</w:t>
      </w:r>
      <w:r>
        <w:rPr>
          <w:rFonts w:ascii="Tinos" w:hAnsi="Tinos" w:eastAsia="Tinos" w:cs="Tinos"/>
        </w:rPr>
        <w:t xml:space="preserve">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отказаться от исполнения Договора и потребовать возврата уплаченной з</w:t>
      </w:r>
      <w:r>
        <w:rPr>
          <w:rFonts w:ascii="Tinos" w:hAnsi="Tinos" w:eastAsia="Tinos" w:cs="Tinos"/>
        </w:rPr>
        <w:t xml:space="preserve">а Продукцию денежной суммы;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0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</w:t>
      </w:r>
      <w:r>
        <w:rPr>
          <w:rFonts w:ascii="Tinos" w:hAnsi="Tinos" w:eastAsia="Tinos" w:cs="Tinos"/>
        </w:rPr>
        <w:t xml:space="preserve">. 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Приемка продукции по количеству производится в соответствии с законодательством Российской Федерации (ст.</w:t>
      </w:r>
      <w:r>
        <w:rPr>
          <w:rFonts w:ascii="Tinos" w:hAnsi="Tinos" w:eastAsia="Tinos" w:cs="Tinos"/>
        </w:rPr>
        <w:t xml:space="preserve"> 513 ГК РФ), СО_5.022 и условиями Договора.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приемке продукции осуществляется:</w:t>
      </w:r>
      <w:r>
        <w:rPr>
          <w:rFonts w:ascii="Tinos" w:hAnsi="Tinos" w:cs="Tinos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внешний осмотр тары и упаковки:</w:t>
      </w:r>
      <w:r>
        <w:rPr>
          <w:rFonts w:ascii="Tinos" w:hAnsi="Tinos" w:cs="Tinos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проверку соответствия количества отгруженных и поступивших поставочных мест;</w:t>
      </w:r>
      <w:r>
        <w:rPr>
          <w:rFonts w:ascii="Tinos" w:hAnsi="Tinos" w:cs="Tinos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nos" w:hAnsi="Tinos" w:cs="Tinos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проведение оценки соответствия продукции для обеспечения функционирования объектов э</w:t>
      </w:r>
      <w:r>
        <w:rPr>
          <w:rFonts w:ascii="Tinos" w:hAnsi="Tinos" w:eastAsia="Tinos" w:cs="Tinos"/>
        </w:rPr>
        <w:t xml:space="preserve">лектросетевого комплекса, предъявляемой на контроль, установленным требованиям;</w:t>
      </w:r>
      <w:r>
        <w:rPr>
          <w:rFonts w:ascii="Tinos" w:hAnsi="Tinos" w:cs="Tinos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</w:rPr>
      </w:r>
    </w:p>
    <w:p>
      <w:pPr>
        <w:numPr>
          <w:ilvl w:val="0"/>
          <w:numId w:val="11"/>
        </w:numPr>
        <w:ind w:left="0" w:firstLine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контроль соответствия качества и ко</w:t>
      </w:r>
      <w:r>
        <w:rPr>
          <w:rFonts w:ascii="Tinos" w:hAnsi="Tinos" w:eastAsia="Tinos" w:cs="Tinos"/>
        </w:rPr>
        <w:t xml:space="preserve">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</w:rPr>
      </w:r>
    </w:p>
    <w:p>
      <w:pPr>
        <w:pStyle w:val="1047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</w:rPr>
      </w:r>
    </w:p>
    <w:p>
      <w:pPr>
        <w:pStyle w:val="1047"/>
        <w:ind w:left="0" w:right="4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4.7. Продукция, поставляемая по настоящему Договору, должна быть </w:t>
      </w:r>
      <w:r>
        <w:rPr>
          <w:rFonts w:ascii="Tinos" w:hAnsi="Tinos" w:eastAsia="Tinos" w:cs="Tinos"/>
        </w:rPr>
        <w:t xml:space="preserve">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</w:t>
      </w:r>
      <w:r>
        <w:rPr>
          <w:rFonts w:ascii="Tinos" w:hAnsi="Tinos" w:eastAsia="Tinos" w:cs="Tinos"/>
        </w:rPr>
        <w:t xml:space="preserve">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</w:t>
      </w:r>
      <w:r>
        <w:rPr>
          <w:rFonts w:ascii="Tinos" w:hAnsi="Tinos" w:eastAsia="Tinos" w:cs="Tinos"/>
        </w:rPr>
        <w:t xml:space="preserve">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</w:t>
      </w:r>
      <w:r>
        <w:rPr>
          <w:rFonts w:ascii="Tinos" w:hAnsi="Tinos" w:eastAsia="Tinos" w:cs="Tinos"/>
        </w:rPr>
        <w:t xml:space="preserve">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</w:t>
      </w:r>
      <w:r>
        <w:rPr>
          <w:rFonts w:ascii="Tinos" w:hAnsi="Tinos" w:eastAsia="Tinos" w:cs="Tinos"/>
        </w:rPr>
        <w:t xml:space="preserve">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11" w:tooltip="https://www.rosseti.ru/suppliers/technical-policy/equipment-quality-control/" w:history="1">
        <w:r>
          <w:rPr>
            <w:rStyle w:val="1036"/>
            <w:rFonts w:ascii="Tinos" w:hAnsi="Tinos" w:eastAsia="Tinos" w:cs="Tinos"/>
          </w:rPr>
          <w:t xml:space="preserve">https://www.rosseti.ru/suppliers/technical-policy/equipment-quality-control/</w:t>
        </w:r>
      </w:hyperlink>
      <w:r>
        <w:rPr>
          <w:rFonts w:ascii="Tinos" w:hAnsi="Tinos" w:eastAsia="Tinos" w:cs="Tinos"/>
        </w:rPr>
        <w:t xml:space="preserve">). 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поставке Продукции Поставщик должен передать Покупателю оригиналы следующих документов на русском язы</w:t>
      </w:r>
      <w:r>
        <w:rPr>
          <w:rFonts w:ascii="Tinos" w:hAnsi="Tinos" w:eastAsia="Tinos" w:cs="Tinos"/>
        </w:rPr>
        <w:t xml:space="preserve">ке:</w:t>
      </w:r>
      <w:r>
        <w:rPr>
          <w:rFonts w:ascii="Tinos" w:hAnsi="Tinos" w:cs="Tinos"/>
        </w:rPr>
      </w:r>
    </w:p>
    <w:p>
      <w:pPr>
        <w:pStyle w:val="1047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Сертификаты/декларации соответствия и протоколы испытаний, подтверждающих заявленные характеристики, а также документацию по монтажу, наладке и эксплуатации.</w:t>
      </w:r>
      <w:r>
        <w:rPr>
          <w:rFonts w:ascii="Tinos" w:hAnsi="Tinos" w:cs="Tinos"/>
        </w:rPr>
      </w:r>
    </w:p>
    <w:p>
      <w:pPr>
        <w:pStyle w:val="1047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Гарантийные свидетельства.</w:t>
      </w:r>
      <w:r>
        <w:rPr>
          <w:rFonts w:ascii="Tinos" w:hAnsi="Tinos" w:cs="Tinos"/>
        </w:rPr>
      </w:r>
    </w:p>
    <w:p>
      <w:pPr>
        <w:pStyle w:val="1047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</w:rPr>
      </w:r>
    </w:p>
    <w:p>
      <w:pPr>
        <w:pStyle w:val="1047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</w:rPr>
      </w:r>
    </w:p>
    <w:p>
      <w:pPr>
        <w:pStyle w:val="1047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Копию заключения о </w:t>
      </w:r>
      <w:r>
        <w:rPr>
          <w:rFonts w:ascii="Tinos" w:hAnsi="Tinos" w:eastAsia="Tinos" w:cs="Tinos"/>
        </w:rPr>
        <w:t xml:space="preserve">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</w:t>
      </w:r>
      <w:r>
        <w:rPr>
          <w:rFonts w:ascii="Tinos" w:hAnsi="Tinos" w:eastAsia="Tinos" w:cs="Tinos"/>
        </w:rPr>
        <w:t xml:space="preserve">оборудования (кроме случаев, когда Товар допущен к применению КДО в случаях, предусмотренных </w:t>
      </w:r>
      <w:r>
        <w:rPr>
          <w:rFonts w:ascii="Tinos" w:hAnsi="Tinos" w:eastAsia="Tinos" w:cs="Tinos"/>
        </w:rPr>
        <w:t xml:space="preserve">в Регламенте работы КДО).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</w:t>
      </w:r>
      <w:r>
        <w:rPr>
          <w:rFonts w:ascii="Tinos" w:hAnsi="Tinos" w:eastAsia="Tinos" w:cs="Tinos"/>
        </w:rPr>
        <w:t xml:space="preserve">ящего Договора.</w:t>
      </w:r>
      <w:r>
        <w:rPr>
          <w:rFonts w:ascii="Tinos" w:hAnsi="Tinos" w:cs="Tinos"/>
        </w:rPr>
      </w:r>
    </w:p>
    <w:p>
      <w:pPr>
        <w:pStyle w:val="1047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                                                               5. Тара и упаковка</w:t>
      </w:r>
      <w:r>
        <w:rPr>
          <w:rFonts w:ascii="Tinos" w:hAnsi="Tinos" w:cs="Tinos"/>
          <w:b/>
        </w:rPr>
      </w:r>
    </w:p>
    <w:p>
      <w:pPr>
        <w:pStyle w:val="1023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</w:p>
    <w:p>
      <w:pPr>
        <w:pStyle w:val="1023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</w:t>
      </w:r>
      <w:r>
        <w:rPr>
          <w:rFonts w:ascii="Tinos" w:hAnsi="Tinos" w:eastAsia="Tinos" w:cs="Tinos"/>
          <w:sz w:val="22"/>
          <w:szCs w:val="22"/>
        </w:rPr>
        <w:t xml:space="preserve">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</w:t>
      </w:r>
      <w:r>
        <w:rPr>
          <w:rFonts w:ascii="Tinos" w:hAnsi="Tinos" w:eastAsia="Tinos" w:cs="Tinos"/>
          <w:sz w:val="22"/>
          <w:szCs w:val="22"/>
        </w:rPr>
        <w:t xml:space="preserve">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3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</w:t>
      </w:r>
      <w:r>
        <w:rPr>
          <w:rFonts w:ascii="Tinos" w:hAnsi="Tinos" w:eastAsia="Tinos" w:cs="Tinos"/>
          <w:sz w:val="22"/>
          <w:szCs w:val="22"/>
        </w:rPr>
        <w:t xml:space="preserve">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3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</w:p>
    <w:p>
      <w:pPr>
        <w:pStyle w:val="1047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</w:t>
      </w:r>
      <w:r>
        <w:rPr>
          <w:rFonts w:ascii="Tinos" w:hAnsi="Tinos" w:eastAsia="Tinos" w:cs="Tinos"/>
          <w:sz w:val="22"/>
          <w:szCs w:val="22"/>
        </w:rPr>
        <w:t xml:space="preserve">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</w:t>
      </w:r>
      <w:r>
        <w:rPr>
          <w:rFonts w:ascii="Tinos" w:hAnsi="Tinos" w:eastAsia="Tinos" w:cs="Tinos"/>
          <w:bCs/>
          <w:sz w:val="22"/>
          <w:szCs w:val="22"/>
        </w:rPr>
        <w:t xml:space="preserve"> Товар допущен к применению КДО в случаях, предусмотренных в Регламенте работы КДО) п. 4.8.5. или</w:t>
      </w:r>
      <w:r>
        <w:rPr>
          <w:rFonts w:ascii="Tinos" w:hAnsi="Tinos" w:eastAsia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4.8.3. Договора, Поставщик уплачивает неустойку в размере 0,2% от стои</w:t>
      </w:r>
      <w:r>
        <w:rPr>
          <w:rFonts w:ascii="Tinos" w:hAnsi="Tinos" w:eastAsia="Tinos" w:cs="Tinos"/>
          <w:sz w:val="22"/>
          <w:szCs w:val="22"/>
        </w:rPr>
        <w:t xml:space="preserve">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</w:t>
      </w:r>
      <w:r>
        <w:rPr>
          <w:rFonts w:ascii="Tinos" w:hAnsi="Tinos" w:eastAsia="Tinos" w:cs="Tinos"/>
          <w:sz w:val="22"/>
          <w:szCs w:val="22"/>
        </w:rPr>
        <w:t xml:space="preserve">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</w:t>
      </w:r>
      <w:r>
        <w:rPr>
          <w:rFonts w:ascii="Tinos" w:hAnsi="Tinos" w:eastAsia="Tinos" w:cs="Tinos"/>
          <w:sz w:val="22"/>
          <w:szCs w:val="22"/>
        </w:rPr>
        <w:t xml:space="preserve">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</w:t>
      </w:r>
      <w:r>
        <w:rPr>
          <w:rFonts w:ascii="Tinos" w:hAnsi="Tinos" w:eastAsia="Tinos" w:cs="Tinos"/>
          <w:sz w:val="22"/>
          <w:szCs w:val="22"/>
        </w:rPr>
        <w:t xml:space="preserve">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87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</w:t>
      </w:r>
      <w:r>
        <w:rPr>
          <w:rFonts w:ascii="Tinos" w:hAnsi="Tinos" w:eastAsia="Tinos" w:cs="Tinos"/>
          <w:sz w:val="22"/>
          <w:szCs w:val="22"/>
        </w:rPr>
        <w:t xml:space="preserve">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</w:t>
      </w:r>
      <w:r>
        <w:rPr>
          <w:rFonts w:ascii="Tinos" w:hAnsi="Tinos" w:eastAsia="Tinos" w:cs="Tinos"/>
          <w:sz w:val="22"/>
          <w:szCs w:val="22"/>
        </w:rPr>
        <w:t xml:space="preserve">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</w:t>
      </w:r>
      <w:r>
        <w:rPr>
          <w:rFonts w:ascii="Tinos" w:hAnsi="Tinos" w:eastAsia="Tinos" w:cs="Tinos"/>
          <w:sz w:val="22"/>
          <w:szCs w:val="22"/>
        </w:rPr>
        <w:t xml:space="preserve">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32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</w:t>
      </w:r>
      <w:r>
        <w:rPr>
          <w:rFonts w:ascii="Tinos" w:hAnsi="Tinos" w:eastAsia="Tinos" w:cs="Tinos"/>
          <w:sz w:val="22"/>
          <w:szCs w:val="22"/>
        </w:rPr>
        <w:t xml:space="preserve">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</w:t>
      </w:r>
      <w:r>
        <w:rPr>
          <w:rFonts w:ascii="Tinos" w:hAnsi="Tinos" w:eastAsia="Tinos" w:cs="Tinos"/>
          <w:sz w:val="22"/>
          <w:szCs w:val="22"/>
        </w:rPr>
        <w:t xml:space="preserve">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</w:t>
      </w:r>
      <w:r>
        <w:rPr>
          <w:rFonts w:ascii="Tinos" w:hAnsi="Tinos" w:eastAsia="Tinos" w:cs="Tinos"/>
          <w:sz w:val="22"/>
          <w:szCs w:val="22"/>
        </w:rPr>
        <w:t xml:space="preserve">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</w:t>
      </w:r>
      <w:r>
        <w:rPr>
          <w:rFonts w:ascii="Tinos" w:hAnsi="Tinos" w:eastAsia="Tinos" w:cs="Tinos"/>
          <w:sz w:val="22"/>
          <w:szCs w:val="22"/>
        </w:rPr>
        <w:t xml:space="preserve">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</w:t>
      </w:r>
      <w:r>
        <w:rPr>
          <w:rFonts w:ascii="Tinos" w:hAnsi="Tinos" w:eastAsia="Tinos" w:cs="Tinos"/>
          <w:sz w:val="22"/>
          <w:szCs w:val="22"/>
        </w:rPr>
        <w:t xml:space="preserve">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</w:t>
      </w:r>
      <w:r>
        <w:rPr>
          <w:rFonts w:ascii="Tinos" w:hAnsi="Tinos" w:eastAsia="Tinos" w:cs="Tinos"/>
          <w:sz w:val="22"/>
          <w:szCs w:val="22"/>
        </w:rPr>
        <w:t xml:space="preserve">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</w:t>
      </w:r>
      <w:r>
        <w:rPr>
          <w:rFonts w:ascii="Tinos" w:hAnsi="Tinos" w:eastAsia="Tinos" w:cs="Tinos"/>
          <w:sz w:val="22"/>
          <w:szCs w:val="22"/>
        </w:rPr>
        <w:t xml:space="preserve">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0"/>
          <w:numId w:val="27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АО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«Россети Сибирь Тываэнерго» - </w:t>
      </w:r>
      <w:hyperlink r:id="rId12" w:tooltip="mailto:tuvaenergo@tv.rosseti-sib.ru" w:history="1">
        <w:r>
          <w:rPr>
            <w:rStyle w:val="1036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7"/>
        <w:numPr>
          <w:ilvl w:val="0"/>
          <w:numId w:val="27"/>
        </w:numPr>
        <w:ind w:lef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  <w:highlight w:val="white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7"/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6.11. </w:t>
      </w:r>
      <w:r>
        <w:rPr>
          <w:rFonts w:ascii="Tinos" w:hAnsi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highlight w:val="white"/>
        </w:rPr>
      </w:r>
      <w:r>
        <w:rPr>
          <w:highlight w:val="white"/>
        </w:rPr>
      </w:r>
    </w:p>
    <w:p>
      <w:pPr>
        <w:pStyle w:val="1027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  <w:highlight w:val="white"/>
        </w:rPr>
        <w:t xml:space="preserve">в</w:t>
      </w:r>
      <w:r>
        <w:rPr>
          <w:rFonts w:ascii="Tinos" w:hAnsi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highlight w:val="white"/>
        </w:rPr>
      </w:r>
      <w:r>
        <w:rPr>
          <w:highlight w:val="white"/>
        </w:rPr>
      </w:r>
    </w:p>
    <w:p>
      <w:pPr>
        <w:pStyle w:val="1027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highlight w:val="white"/>
        </w:rPr>
      </w:r>
      <w:r>
        <w:rPr>
          <w:highlight w:val="white"/>
        </w:rPr>
      </w:r>
    </w:p>
    <w:p>
      <w:pPr>
        <w:pStyle w:val="1027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П</w:t>
      </w:r>
      <w:r>
        <w:rPr>
          <w:rFonts w:ascii="Tinos" w:hAnsi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32"/>
          <w:rFonts w:ascii="Tinos" w:hAnsi="Tinos" w:cs="Tinos"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7"/>
        <w:ind w:left="36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425" w:leader="none"/>
        </w:tabs>
        <w:rPr>
          <w:rFonts w:ascii="Tinos" w:hAnsi="Tinos" w:cs="Tinos"/>
          <w:b/>
          <w:bCs/>
          <w:highlight w:val="white"/>
        </w:rPr>
      </w:pPr>
      <w:r>
        <w:rPr>
          <w:rFonts w:ascii="Tinos" w:hAnsi="Tinos" w:eastAsia="Tinos" w:cs="Tinos"/>
          <w:b/>
          <w:bCs/>
          <w:highlight w:val="white"/>
        </w:rPr>
        <w:t xml:space="preserve">Обеспечение исполнения обязательств</w:t>
      </w:r>
      <w:r>
        <w:rPr>
          <w:rStyle w:val="1032"/>
          <w:rFonts w:ascii="Tinos" w:hAnsi="Tinos" w:eastAsia="Tinos" w:cs="Tinos"/>
          <w:b/>
          <w:bCs/>
          <w:highlight w:val="white"/>
        </w:rPr>
        <w:footnoteReference w:id="6"/>
      </w:r>
      <w:r>
        <w:rPr>
          <w:rFonts w:ascii="Tinos" w:hAnsi="Tinos" w:cs="Tinos"/>
          <w:b/>
          <w:bCs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7.1. </w:t>
      </w:r>
      <w:r>
        <w:rPr>
          <w:rFonts w:ascii="Tinos" w:hAnsi="Tinos" w:eastAsia="Tinos" w:cs="Tinos"/>
          <w:highlight w:val="white"/>
        </w:rPr>
        <w:t xml:space="preserve">Поставщик должен предоставить обеспечение исполнения обязательств по Договору</w:t>
      </w:r>
      <w:r>
        <w:rPr>
          <w:rStyle w:val="1032"/>
          <w:rFonts w:ascii="Tinos" w:hAnsi="Tinos" w:eastAsia="Tinos" w:cs="Tinos"/>
          <w:highlight w:val="white"/>
        </w:rPr>
        <w:footnoteReference w:id="7"/>
      </w:r>
      <w:r>
        <w:rPr>
          <w:rFonts w:ascii="Tinos" w:hAnsi="Tinos" w:eastAsia="Tinos" w:cs="Tinos"/>
          <w:highlight w:val="white"/>
        </w:rPr>
        <w:t xml:space="preserve"> в соответствии с Приложением № 4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highlight w:val="white"/>
        </w:rPr>
      </w:pPr>
      <w:r>
        <w:rPr>
          <w:rFonts w:ascii="Tinos" w:hAnsi="Tinos" w:eastAsia="Tinos" w:cs="Tinos"/>
          <w:highlight w:val="white"/>
        </w:rPr>
        <w:t xml:space="preserve">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b/>
          <w:bCs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Обстоятельства непреодолимой силы</w:t>
      </w:r>
      <w:r>
        <w:rPr>
          <w:rFonts w:ascii="Tinos" w:hAnsi="Tinos" w:cs="Tinos"/>
          <w:b/>
          <w:bCs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Сторона, ссылающаяся на обстоятельства непреодолимой силы, обя</w:t>
      </w:r>
      <w:r>
        <w:rPr>
          <w:rFonts w:ascii="Tinos" w:hAnsi="Tinos" w:eastAsia="Tinos" w:cs="Tinos"/>
        </w:rPr>
        <w:t xml:space="preserve">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</w:t>
      </w:r>
      <w:r>
        <w:rPr>
          <w:rFonts w:ascii="Tinos" w:hAnsi="Tinos" w:eastAsia="Tinos" w:cs="Tinos"/>
        </w:rPr>
        <w:t xml:space="preserve">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</w:t>
      </w:r>
      <w:r>
        <w:rPr>
          <w:rFonts w:ascii="Tinos" w:hAnsi="Tinos" w:eastAsia="Tinos" w:cs="Tinos"/>
        </w:rPr>
        <w:t xml:space="preserve">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</w:t>
      </w:r>
      <w:r>
        <w:rPr>
          <w:rFonts w:ascii="Tinos" w:hAnsi="Tinos" w:eastAsia="Tinos" w:cs="Tinos"/>
        </w:rPr>
        <w:t xml:space="preserve">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nos" w:hAnsi="Tinos" w:eastAsia="Tinos" w:cs="Tinos"/>
        </w:rPr>
        <w:t xml:space="preserve"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hAnsi="Tinos" w:eastAsia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hAnsi="Tinos" w:eastAsia="Tinos" w:cs="Tinos"/>
        </w:rPr>
        <w:t xml:space="preserve">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hAnsi="Tinos" w:eastAsia="Tinos" w:cs="Tinos"/>
        </w:rPr>
        <w:t xml:space="preserve">льств непреодолимой силы.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b/>
          <w:bCs/>
        </w:rPr>
        <w:t xml:space="preserve">Антикоррупционная оговорка</w:t>
      </w:r>
      <w:r>
        <w:rPr>
          <w:rFonts w:ascii="Tinos" w:hAnsi="Tinos" w:cs="Tinos"/>
          <w:b/>
          <w:bCs/>
        </w:rPr>
      </w:r>
    </w:p>
    <w:p>
      <w:pPr>
        <w:pStyle w:val="1047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hAnsi="Tinos" w:eastAsia="Tinos" w:cs="Tinos"/>
        </w:rPr>
        <w:t xml:space="preserve"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hAnsi="Tinos" w:eastAsia="Tinos" w:cs="Tinos"/>
        </w:rPr>
        <w:t xml:space="preserve"> бизнеса.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hAnsi="Tinos" w:eastAsia="Tinos" w:cs="Tinos"/>
        </w:rPr>
        <w:t xml:space="preserve">у: </w:t>
      </w:r>
      <w:hyperlink r:id="rId13" w:tooltip="http://www.tuvaenergo.ru/buy/corruption.php" w:history="1">
        <w:r>
          <w:rPr>
            <w:rStyle w:val="1036"/>
            <w:rFonts w:ascii="Tinos" w:hAnsi="Tinos" w:eastAsia="Tinos" w:cs="Tinos"/>
          </w:rPr>
          <w:t xml:space="preserve">http://www.tuvaenergo.ru/buy/corruption.php</w:t>
        </w:r>
      </w:hyperlink>
      <w:r>
        <w:rPr>
          <w:rFonts w:ascii="Tinos" w:hAnsi="Tinos" w:eastAsia="Tinos" w:cs="Tinos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</w:t>
      </w:r>
      <w:r>
        <w:rPr>
          <w:rFonts w:ascii="Tinos" w:hAnsi="Tinos" w:eastAsia="Tinos" w:cs="Tinos"/>
        </w:rPr>
        <w:t xml:space="preserve">ых лиц, работников и/или посредников.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</w:t>
      </w:r>
      <w:r>
        <w:rPr>
          <w:rFonts w:ascii="Tinos" w:hAnsi="Tinos" w:eastAsia="Tinos" w:cs="Tinos"/>
        </w:rPr>
        <w:t xml:space="preserve">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</w:rPr>
      </w:r>
    </w:p>
    <w:p>
      <w:pPr>
        <w:pStyle w:val="1047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Стороны отказываются от стимулирования каким-либо образом работников друг друга, в том</w:t>
      </w:r>
      <w:r>
        <w:rPr>
          <w:rFonts w:ascii="Tinos" w:hAnsi="Tinos" w:eastAsia="Tinos" w:cs="Tinos"/>
        </w:rPr>
        <w:t xml:space="preserve">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</w:t>
      </w:r>
      <w:r>
        <w:rPr>
          <w:rFonts w:ascii="Tinos" w:hAnsi="Tinos" w:eastAsia="Tinos" w:cs="Tinos"/>
        </w:rPr>
        <w:t xml:space="preserve">ких-либо действий в пользу стимулирующей его Стороны.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–9.3 Антикоррупционной оговорки, указанная Сторона обязуется уведомить д</w:t>
      </w:r>
      <w:r>
        <w:rPr>
          <w:rFonts w:ascii="Tinos" w:hAnsi="Tinos" w:eastAsia="Tinos" w:cs="Tinos"/>
        </w:rPr>
        <w:t xml:space="preserve">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</w:t>
      </w:r>
      <w:r>
        <w:rPr>
          <w:rFonts w:ascii="Tinos" w:hAnsi="Tinos" w:eastAsia="Tinos" w:cs="Tinos"/>
        </w:rPr>
        <w:t xml:space="preserve">х дней с даты направления письменного уведомления.</w:t>
      </w:r>
      <w:r>
        <w:rPr>
          <w:rFonts w:ascii="Tinos" w:hAnsi="Tinos" w:cs="Tinos"/>
        </w:rPr>
      </w:r>
    </w:p>
    <w:p>
      <w:pPr>
        <w:pStyle w:val="1047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</w:t>
      </w:r>
      <w:r>
        <w:rPr>
          <w:rFonts w:ascii="Tinos" w:hAnsi="Tinos" w:eastAsia="Tinos" w:cs="Tinos"/>
        </w:rPr>
        <w:t xml:space="preserve">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</w:rPr>
      </w:r>
    </w:p>
    <w:p>
      <w:pPr>
        <w:pStyle w:val="1047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нарушения одной из Сторон обязательств по соблюдению требований Антикоррупционной политики, предусмот</w:t>
      </w:r>
      <w:r>
        <w:rPr>
          <w:rFonts w:ascii="Tinos" w:hAnsi="Tinos" w:eastAsia="Tinos" w:cs="Tinos"/>
        </w:rPr>
        <w:t xml:space="preserve">ренных пунктами 9.1,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</w:t>
      </w:r>
      <w:r>
        <w:rPr>
          <w:rFonts w:ascii="Tinos" w:hAnsi="Tinos" w:eastAsia="Tinos" w:cs="Tinos"/>
        </w:rPr>
        <w:t xml:space="preserve">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</w:t>
      </w:r>
      <w:r>
        <w:rPr>
          <w:rFonts w:ascii="Tinos" w:hAnsi="Tinos" w:eastAsia="Tinos" w:cs="Tinos"/>
        </w:rPr>
        <w:t xml:space="preserve">ть возмещения реального ущерба, возникшего в результате такого расторжения.</w:t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 Конфиденциальность</w:t>
      </w:r>
      <w:r>
        <w:rPr>
          <w:rFonts w:ascii="Tinos" w:hAnsi="Tinos" w:cs="Tinos"/>
          <w:b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</w:t>
      </w:r>
      <w:r>
        <w:rPr>
          <w:rFonts w:ascii="Tinos" w:hAnsi="Tinos" w:eastAsia="Tinos" w:cs="Tinos"/>
          <w:sz w:val="22"/>
          <w:szCs w:val="22"/>
        </w:rPr>
        <w:t xml:space="preserve">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</w:t>
      </w:r>
      <w:r>
        <w:rPr>
          <w:rFonts w:ascii="Tinos" w:hAnsi="Tinos" w:eastAsia="Tinos" w:cs="Tinos"/>
          <w:sz w:val="22"/>
          <w:szCs w:val="22"/>
        </w:rPr>
        <w:t xml:space="preserve">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С</w:t>
      </w:r>
      <w:r>
        <w:rPr>
          <w:rFonts w:ascii="Tinos" w:hAnsi="Tinos" w:eastAsia="Tinos" w:cs="Tinos"/>
          <w:sz w:val="22"/>
          <w:szCs w:val="22"/>
        </w:rPr>
        <w:t xml:space="preserve">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</w:t>
      </w:r>
      <w:r>
        <w:rPr>
          <w:rFonts w:ascii="Tinos" w:hAnsi="Tinos" w:eastAsia="Tinos" w:cs="Tinos"/>
          <w:sz w:val="22"/>
          <w:szCs w:val="22"/>
        </w:rPr>
        <w:t xml:space="preserve">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Уступка права тр</w:t>
      </w:r>
      <w:r>
        <w:rPr>
          <w:rFonts w:ascii="Tinos" w:hAnsi="Tinos" w:eastAsia="Tinos" w:cs="Tinos"/>
          <w:b/>
        </w:rPr>
        <w:t xml:space="preserve">ебования</w:t>
      </w:r>
      <w:r>
        <w:rPr>
          <w:rStyle w:val="1032"/>
          <w:rFonts w:ascii="Tinos" w:hAnsi="Tinos" w:eastAsia="Tinos" w:cs="Tinos"/>
          <w:b/>
        </w:rPr>
        <w:footnoteReference w:id="8"/>
      </w:r>
      <w:r>
        <w:rPr>
          <w:rFonts w:ascii="Tinos" w:hAnsi="Tinos" w:cs="Tinos"/>
          <w:b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11.1.</w:t>
      </w:r>
      <w:r>
        <w:rPr>
          <w:rFonts w:ascii="Tinos" w:hAnsi="Tinos" w:eastAsia="Tinos" w:cs="Tinos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</w:t>
      </w:r>
      <w:r>
        <w:rPr>
          <w:rFonts w:ascii="Tinos" w:hAnsi="Tinos" w:eastAsia="Tinos" w:cs="Tinos"/>
        </w:rPr>
        <w:t xml:space="preserve">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11.2.</w:t>
      </w:r>
      <w:r>
        <w:rPr>
          <w:rFonts w:ascii="Tinos" w:hAnsi="Tinos" w:eastAsia="Tinos" w:cs="Tinos"/>
        </w:rPr>
        <w:tab/>
        <w:t xml:space="preserve">Соглашение между Финансовым агентом (Фактором) и Поставщиком по переуступке права</w:t>
      </w:r>
      <w:r>
        <w:rPr>
          <w:rFonts w:ascii="Tinos" w:hAnsi="Tinos" w:eastAsia="Tinos" w:cs="Tinos"/>
        </w:rPr>
        <w:t xml:space="preserve">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11.3.</w:t>
      </w:r>
      <w:r>
        <w:rPr>
          <w:rFonts w:ascii="Tinos" w:hAnsi="Tinos" w:eastAsia="Tinos" w:cs="Tinos"/>
        </w:rPr>
        <w:tab/>
        <w:t xml:space="preserve">В случае переуступки Поставщиком права денежного требования по договору с О</w:t>
      </w:r>
      <w:r>
        <w:rPr>
          <w:rFonts w:ascii="Tinos" w:hAnsi="Tinos" w:eastAsia="Tinos" w:cs="Tinos"/>
        </w:rPr>
        <w:t xml:space="preserve">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11.4.</w:t>
      </w:r>
      <w:r>
        <w:rPr>
          <w:rFonts w:ascii="Tinos" w:hAnsi="Tinos" w:eastAsia="Tinos" w:cs="Tinos"/>
        </w:rPr>
        <w:tab/>
        <w:t xml:space="preserve">Куратор договора в течение 1 (одного) рабочего дня </w:t>
      </w:r>
      <w:r>
        <w:rPr>
          <w:rFonts w:ascii="Tinos" w:hAnsi="Tinos" w:eastAsia="Tinos" w:cs="Tinos"/>
        </w:rPr>
        <w:t xml:space="preserve">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</w:t>
      </w:r>
      <w:r>
        <w:rPr>
          <w:rFonts w:ascii="Tinos" w:hAnsi="Tinos" w:eastAsia="Tinos" w:cs="Tinos"/>
        </w:rPr>
        <w:t xml:space="preserve">т финансов ПАО «Россети» на адрес электронной почты </w:t>
      </w:r>
      <w:hyperlink r:id="rId14" w:tooltip="mailto:cfd@rosseti.ru" w:history="1">
        <w:r>
          <w:rPr>
            <w:rStyle w:val="1036"/>
            <w:rFonts w:ascii="Tinos" w:hAnsi="Tinos" w:eastAsia="Tinos" w:cs="Tinos"/>
          </w:rPr>
          <w:t xml:space="preserve">cfd@rosseti.ru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Толкование договора</w:t>
      </w:r>
      <w:r>
        <w:rPr>
          <w:rFonts w:ascii="Tinos" w:hAnsi="Tinos" w:cs="Tinos"/>
          <w:b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</w:t>
      </w:r>
      <w:r>
        <w:rPr>
          <w:rFonts w:ascii="Tinos" w:hAnsi="Tinos" w:eastAsia="Tinos" w:cs="Tinos"/>
          <w:sz w:val="22"/>
          <w:szCs w:val="22"/>
        </w:rPr>
        <w:t xml:space="preserve">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</w:t>
      </w:r>
      <w:r>
        <w:rPr>
          <w:rFonts w:ascii="Tinos" w:hAnsi="Tinos" w:eastAsia="Tinos" w:cs="Tinos"/>
          <w:sz w:val="22"/>
          <w:szCs w:val="22"/>
        </w:rPr>
        <w:t xml:space="preserve">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Особые условия</w:t>
      </w:r>
      <w:r>
        <w:rPr>
          <w:rFonts w:ascii="Tinos" w:hAnsi="Tinos" w:cs="Tinos"/>
          <w:b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</w:p>
    <w:p>
      <w:pPr>
        <w:pStyle w:val="1047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информацию о полной цепочке собственников, включая конечных бенефициаров, а также о составе исполни</w:t>
      </w:r>
      <w:r>
        <w:rPr>
          <w:rFonts w:ascii="Tinos" w:hAnsi="Tinos" w:eastAsia="Tinos" w:cs="Tinos"/>
        </w:rPr>
        <w:t xml:space="preserve">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</w:t>
      </w:r>
      <w:r>
        <w:rPr>
          <w:rFonts w:ascii="Tinos" w:hAnsi="Tinos" w:eastAsia="Tinos" w:cs="Tinos"/>
        </w:rPr>
        <w:t xml:space="preserve">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36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4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информацию о привлечении Поставщиком к исполнению своих о</w:t>
      </w:r>
      <w:r>
        <w:rPr>
          <w:rFonts w:ascii="Tinos" w:hAnsi="Tinos" w:eastAsia="Tinos" w:cs="Tinos"/>
        </w:rPr>
        <w:t xml:space="preserve">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</w:t>
      </w:r>
      <w:r>
        <w:rPr>
          <w:rFonts w:ascii="Tinos" w:hAnsi="Tinos" w:eastAsia="Tinos" w:cs="Tinos"/>
        </w:rPr>
        <w:t xml:space="preserve">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1036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</w:t>
      </w:r>
      <w:r>
        <w:rPr>
          <w:rFonts w:ascii="Tinos" w:hAnsi="Tinos" w:eastAsia="Tinos" w:cs="Tinos"/>
        </w:rPr>
        <w:t xml:space="preserve">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</w:t>
      </w:r>
      <w:r>
        <w:rPr>
          <w:rFonts w:ascii="Tinos" w:hAnsi="Tinos" w:eastAsia="Tinos" w:cs="Tinos"/>
        </w:rPr>
        <w:t xml:space="preserve">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</w:t>
      </w:r>
      <w:r>
        <w:rPr>
          <w:rFonts w:ascii="Tinos" w:hAnsi="Tinos" w:eastAsia="Tinos" w:cs="Tinos"/>
        </w:rPr>
        <w:t xml:space="preserve">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1036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. </w:t>
      </w:r>
      <w:r>
        <w:rPr>
          <w:rFonts w:ascii="Tinos" w:hAnsi="Tinos" w:cs="Tinos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</w:t>
      </w:r>
      <w:r>
        <w:rPr>
          <w:rFonts w:ascii="Tinos" w:hAnsi="Tinos" w:eastAsia="Tinos" w:cs="Tinos"/>
        </w:rPr>
        <w:t xml:space="preserve">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  <w:r>
        <w:rPr>
          <w:rFonts w:ascii="Tinos" w:hAnsi="Tinos" w:cs="Tinos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</w:t>
      </w:r>
      <w:r>
        <w:rPr>
          <w:rFonts w:ascii="Tinos" w:hAnsi="Tinos" w:eastAsia="Tinos" w:cs="Tinos"/>
          <w:sz w:val="22"/>
          <w:szCs w:val="22"/>
        </w:rPr>
        <w:t xml:space="preserve">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гарантирует, что:</w:t>
      </w:r>
      <w:r>
        <w:rPr>
          <w:rFonts w:ascii="Tinos" w:hAnsi="Tinos" w:cs="Tinos"/>
          <w:sz w:val="22"/>
          <w:szCs w:val="22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зарегистрирован в ЕГРЮЛ надлежащим образом;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его исполнительный орган находится</w:t>
      </w:r>
      <w:r>
        <w:rPr>
          <w:rFonts w:ascii="Tinos" w:hAnsi="Tinos" w:eastAsia="Tinos" w:cs="Tinos"/>
        </w:rPr>
        <w:t xml:space="preserve">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</w:t>
      </w:r>
      <w:r>
        <w:rPr>
          <w:rFonts w:ascii="Tinos" w:hAnsi="Tinos" w:eastAsia="Tinos" w:cs="Tinos"/>
        </w:rPr>
        <w:t xml:space="preserve">рому обязательство по исполнению сделки (операции) передано по договору или закону;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</w:t>
      </w:r>
      <w:r>
        <w:rPr>
          <w:rFonts w:ascii="Tinos" w:hAnsi="Tinos" w:eastAsia="Tinos" w:cs="Tinos"/>
        </w:rPr>
        <w:t xml:space="preserve">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</w:t>
      </w:r>
      <w:r>
        <w:rPr>
          <w:rFonts w:ascii="Tinos" w:hAnsi="Tinos" w:eastAsia="Tinos" w:cs="Tinos"/>
        </w:rPr>
        <w:t xml:space="preserve">ческое исполнение обязательств по данной сделке;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является членом саморегулируемо</w:t>
      </w:r>
      <w:r>
        <w:rPr>
          <w:rFonts w:ascii="Tinos" w:hAnsi="Tinos" w:eastAsia="Tinos" w:cs="Tinos"/>
        </w:rPr>
        <w:t xml:space="preserve">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</w:t>
      </w:r>
      <w:r>
        <w:rPr>
          <w:rFonts w:ascii="Tinos" w:hAnsi="Tinos" w:eastAsia="Tinos" w:cs="Tinos"/>
        </w:rPr>
        <w:t xml:space="preserve">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</w:t>
      </w:r>
      <w:r>
        <w:rPr>
          <w:rFonts w:ascii="Tinos" w:hAnsi="Tinos" w:eastAsia="Tinos" w:cs="Tinos"/>
        </w:rPr>
        <w:t xml:space="preserve">вовыми актами органов местного самоуправления, своевременно и в полном объеме представляет налоговую отчет</w:t>
      </w:r>
      <w:r>
        <w:rPr>
          <w:rFonts w:ascii="Tinos" w:hAnsi="Tinos" w:eastAsia="Tinos" w:cs="Tinos"/>
          <w:highlight w:val="white"/>
        </w:rPr>
        <w:t xml:space="preserve">ность в налоговые органы;</w:t>
      </w:r>
      <w:r>
        <w:rPr>
          <w:rFonts w:ascii="Tinos" w:hAnsi="Tinos" w:cs="Tinos"/>
          <w:highlight w:val="white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</w:t>
      </w:r>
      <w:r>
        <w:rPr>
          <w:rFonts w:ascii="Tinos" w:hAnsi="Tinos" w:eastAsia="Tinos" w:cs="Tinos"/>
          <w:highlight w:val="white"/>
        </w:rPr>
        <w:t xml:space="preserve">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</w:t>
      </w:r>
      <w:r>
        <w:rPr>
          <w:rFonts w:ascii="Tinos" w:hAnsi="Tinos" w:eastAsia="Tinos" w:cs="Tinos"/>
          <w:highlight w:val="white"/>
        </w:rPr>
        <w:t xml:space="preserve">дственно не связаны с получением налоговой выгоды;</w:t>
      </w:r>
      <w:r>
        <w:rPr>
          <w:rFonts w:ascii="Tinos" w:hAnsi="Tinos" w:cs="Tinos"/>
          <w:highlight w:val="white"/>
        </w:rPr>
      </w:r>
    </w:p>
    <w:p>
      <w:pPr>
        <w:pStyle w:val="1047"/>
        <w:numPr>
          <w:ilvl w:val="0"/>
          <w:numId w:val="40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highlight w:val="white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highlight w:val="white"/>
        </w:rPr>
      </w:r>
    </w:p>
    <w:p>
      <w:pPr>
        <w:pStyle w:val="1047"/>
        <w:numPr>
          <w:ilvl w:val="0"/>
          <w:numId w:val="15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highlight w:val="white"/>
        </w:rPr>
      </w:pPr>
      <w:r>
        <w:rPr>
          <w:rFonts w:ascii="Tinos" w:hAnsi="Tinos" w:eastAsia="Tinos" w:cs="Tinos"/>
          <w:highlight w:val="white"/>
        </w:rPr>
        <w:t xml:space="preserve">лица, подписывающие от его имени первичные докуме</w:t>
      </w:r>
      <w:r>
        <w:rPr>
          <w:rFonts w:ascii="Tinos" w:hAnsi="Tinos" w:eastAsia="Tinos" w:cs="Tinos"/>
          <w:highlight w:val="white"/>
        </w:rPr>
        <w:t xml:space="preserve">нты и счета-фактуры, имеют на это все необходимые полномочия и доверенности.</w:t>
      </w:r>
      <w:r>
        <w:rPr>
          <w:rFonts w:ascii="Tinos" w:hAnsi="Tinos" w:cs="Tinos"/>
          <w:highlight w:val="white"/>
        </w:rPr>
      </w:r>
    </w:p>
    <w:p>
      <w:pPr>
        <w:pStyle w:val="1027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13.4.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12.3.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highlight w:val="white"/>
        </w:rPr>
      </w:r>
      <w:r>
        <w:rPr>
          <w:highlight w:val="white"/>
        </w:rPr>
      </w:r>
    </w:p>
    <w:p>
      <w:pPr>
        <w:pStyle w:val="1027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27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13.5. 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47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  <w:highlight w:val="white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highlight w:val="white"/>
        </w:rPr>
        <w:t xml:space="preserve">Пок</w:t>
      </w:r>
      <w:r>
        <w:rPr>
          <w:rFonts w:ascii="Tinos" w:hAnsi="Tinos" w:eastAsia="Tinos" w:cs="Tinos"/>
          <w:spacing w:val="-2"/>
          <w:highlight w:val="white"/>
        </w:rPr>
        <w:t xml:space="preserve">упателю</w:t>
      </w:r>
      <w:r>
        <w:rPr>
          <w:rFonts w:ascii="Tinos" w:hAnsi="Tinos" w:eastAsia="Tinos" w:cs="Tinos"/>
          <w:highlight w:val="white"/>
        </w:rPr>
        <w:t xml:space="preserve"> об уплате налогов, сборов, страховых взносов, штрафов, пеней, отказ в</w:t>
      </w:r>
      <w:r>
        <w:rPr>
          <w:rFonts w:ascii="Tinos" w:hAnsi="Tinos" w:eastAsia="Tinos" w:cs="Tinos"/>
        </w:rPr>
        <w:t xml:space="preserve">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</w:rPr>
      </w:r>
    </w:p>
    <w:p>
      <w:pPr>
        <w:pStyle w:val="1047"/>
        <w:numPr>
          <w:ilvl w:val="0"/>
          <w:numId w:val="16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</w:rPr>
        <w:t xml:space="preserve">Покупателя</w:t>
      </w:r>
      <w:r>
        <w:rPr>
          <w:rFonts w:ascii="Tinos" w:hAnsi="Tinos" w:eastAsia="Tinos" w:cs="Tinos"/>
        </w:rPr>
        <w:t xml:space="preserve"> товары (раб</w:t>
      </w:r>
      <w:r>
        <w:rPr>
          <w:rFonts w:ascii="Tinos" w:hAnsi="Tinos" w:eastAsia="Tinos" w:cs="Tinos"/>
        </w:rPr>
        <w:t xml:space="preserve">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</w:t>
      </w:r>
      <w:r>
        <w:rPr>
          <w:rFonts w:ascii="Tinos" w:hAnsi="Tinos" w:eastAsia="Tinos" w:cs="Tinos"/>
        </w:rPr>
        <w:t xml:space="preserve">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то </w:t>
      </w:r>
      <w:r>
        <w:rPr>
          <w:rFonts w:ascii="Tinos" w:hAnsi="Tinos" w:eastAsia="Tinos" w:cs="Tinos"/>
          <w:spacing w:val="-2"/>
        </w:rPr>
        <w:t xml:space="preserve">Поставщик</w:t>
      </w:r>
      <w:r>
        <w:rPr>
          <w:rFonts w:ascii="Tinos" w:hAnsi="Tinos" w:eastAsia="Tinos" w:cs="Tinos"/>
        </w:rPr>
        <w:t xml:space="preserve"> обязуется возместить </w:t>
      </w:r>
      <w:r>
        <w:rPr>
          <w:rFonts w:ascii="Tinos" w:hAnsi="Tinos" w:eastAsia="Tinos" w:cs="Tinos"/>
          <w:spacing w:val="-2"/>
        </w:rPr>
        <w:t xml:space="preserve">Покупателю</w:t>
      </w:r>
      <w:r>
        <w:rPr>
          <w:rFonts w:ascii="Tinos" w:hAnsi="Tinos" w:eastAsia="Tinos" w:cs="Tinos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</w:rPr>
      </w:r>
    </w:p>
    <w:p>
      <w:pPr>
        <w:pStyle w:val="1027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</w:t>
      </w:r>
      <w:r>
        <w:rPr>
          <w:rFonts w:ascii="Tinos" w:hAnsi="Tinos" w:eastAsia="Tinos" w:cs="Tinos"/>
          <w:sz w:val="22"/>
          <w:szCs w:val="22"/>
        </w:rPr>
        <w:t xml:space="preserve">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Заключительные положения</w:t>
      </w:r>
      <w:r>
        <w:rPr>
          <w:rFonts w:ascii="Tinos" w:hAnsi="Tinos" w:cs="Tinos"/>
          <w:b/>
        </w:rPr>
      </w:r>
    </w:p>
    <w:p>
      <w:pPr>
        <w:pStyle w:val="1019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cs="Tinos" w:eastAsiaTheme="minorEastAsia"/>
          <w:color w:val="0000ff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8" w:tooltip="mailto:BaturinNV@tv.rosseti-sib.ru" w:history="1">
        <w:r>
          <w:rPr>
            <w:rStyle w:val="1036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 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1036"/>
            <w:rFonts w:ascii="Tinos" w:hAnsi="Tinos" w:eastAsia="Tinos" w:cs="Tinos"/>
            <w:sz w:val="22"/>
            <w:szCs w:val="22"/>
            <w:lang w:val="en-US"/>
          </w:rPr>
          <w:t xml:space="preserve">KularAY</w:t>
        </w:r>
        <w:r>
          <w:rPr>
            <w:rStyle w:val="1036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36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36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6"/>
            <w:rFonts w:ascii="Tinos" w:hAnsi="Tinos" w:eastAsia="Tinos" w:cs="Tinos"/>
            <w:sz w:val="22"/>
            <w:szCs w:val="22"/>
            <w:lang w:val="en-US"/>
          </w:rPr>
          <w:t xml:space="preserve">rosse</w:t>
        </w:r>
        <w:r>
          <w:rPr>
            <w:rStyle w:val="1036"/>
            <w:rFonts w:ascii="Tinos" w:hAnsi="Tinos" w:eastAsia="Tinos" w:cs="Tinos"/>
            <w:sz w:val="22"/>
            <w:szCs w:val="22"/>
            <w:lang w:val="en-US"/>
          </w:rPr>
          <w:t xml:space="preserve">ti</w:t>
        </w:r>
        <w:r>
          <w:rPr>
            <w:rStyle w:val="1036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36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36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36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</w:p>
    <w:p>
      <w:pPr>
        <w:pStyle w:val="101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</w:t>
      </w:r>
      <w:r>
        <w:rPr>
          <w:rFonts w:ascii="Tinos" w:hAnsi="Tinos" w:eastAsia="Tinos" w:cs="Tinos"/>
        </w:rPr>
        <w:t xml:space="preserve">ления Поставщиком.</w:t>
      </w:r>
      <w:r>
        <w:rPr>
          <w:rFonts w:ascii="Tinos" w:hAnsi="Tinos" w:cs="Tinos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соглашения</w:t>
      </w:r>
      <w:r>
        <w:rPr>
          <w:rFonts w:ascii="Tinos" w:hAnsi="Tinos" w:eastAsia="Tinos" w:cs="Tinos"/>
          <w:bCs/>
          <w:sz w:val="22"/>
          <w:szCs w:val="22"/>
        </w:rPr>
        <w:t xml:space="preserve">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</w:t>
      </w:r>
      <w:r>
        <w:rPr>
          <w:rFonts w:ascii="Tinos" w:hAnsi="Tinos" w:eastAsia="Tinos" w:cs="Tinos"/>
          <w:sz w:val="22"/>
          <w:szCs w:val="22"/>
        </w:rPr>
        <w:t xml:space="preserve">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</w:t>
      </w:r>
      <w:r>
        <w:rPr>
          <w:rFonts w:ascii="Tinos" w:hAnsi="Tinos" w:eastAsia="Tinos" w:cs="Tinos"/>
          <w:sz w:val="22"/>
          <w:szCs w:val="22"/>
        </w:rPr>
        <w:t xml:space="preserve">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</w:t>
      </w:r>
      <w:r>
        <w:rPr>
          <w:rFonts w:ascii="Tinos" w:hAnsi="Tinos" w:eastAsia="Tinos" w:cs="Tinos"/>
          <w:sz w:val="22"/>
          <w:szCs w:val="22"/>
        </w:rPr>
        <w:t xml:space="preserve">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Покупателя считается под</w:t>
      </w:r>
      <w:r>
        <w:rPr>
          <w:rFonts w:ascii="Tinos" w:hAnsi="Tinos" w:eastAsia="Tinos" w:cs="Tinos"/>
        </w:rPr>
        <w:t xml:space="preserve">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1036"/>
            <w:rFonts w:ascii="Tinos" w:hAnsi="Tinos" w:eastAsia="Tinos" w:cs="Tinos"/>
          </w:rPr>
          <w:t xml:space="preserve">EvtifevaDV@tv.rosseti-sib.ru</w:t>
        </w:r>
      </w:hyperlink>
      <w:r>
        <w:rPr>
          <w:rFonts w:ascii="Tinos" w:hAnsi="Tinos" w:eastAsia="Tinos" w:cs="Tinos"/>
        </w:rPr>
        <w:t xml:space="preserve">, </w:t>
      </w:r>
      <w:hyperlink r:id="rId21" w:tooltip="mailto:BaturinNV@tv.rosseti-sib.ru" w:history="1">
        <w:r>
          <w:rPr>
            <w:rStyle w:val="1036"/>
            <w:rFonts w:ascii="Tinos" w:hAnsi="Tinos" w:eastAsia="Tinos" w:cs="Tinos"/>
          </w:rPr>
          <w:t xml:space="preserve">BaturinNV@tv.rosseti-sib.ru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KularAY@tv.rosseti-sib.ru</w:t>
      </w:r>
      <w:r>
        <w:rPr>
          <w:rFonts w:ascii="Tinos" w:hAnsi="Tinos" w:eastAsia="Tinos" w:cs="Tinos"/>
        </w:rPr>
        <w:t xml:space="preserve"> на адрес электронной почты Поставщика: _______ .</w:t>
      </w:r>
      <w:r>
        <w:rPr>
          <w:rFonts w:ascii="Tinos" w:hAnsi="Tinos" w:cs="Tinos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Электронный документ Поставщика считается подписанным простой эле</w:t>
      </w:r>
      <w:r>
        <w:rPr>
          <w:rFonts w:ascii="Tinos" w:hAnsi="Tinos" w:eastAsia="Tinos" w:cs="Tinos"/>
        </w:rPr>
        <w:t xml:space="preserve">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2" w:tooltip="mailto:EvtifevaDV@tv.rosseti-sib.ru" w:history="1">
        <w:r>
          <w:rPr>
            <w:rStyle w:val="1036"/>
            <w:rFonts w:ascii="Tinos" w:hAnsi="Tinos" w:eastAsia="Tinos" w:cs="Tinos"/>
          </w:rPr>
          <w:t xml:space="preserve">Evtife</w:t>
        </w:r>
        <w:r>
          <w:rPr>
            <w:rStyle w:val="1036"/>
            <w:rFonts w:ascii="Tinos" w:hAnsi="Tinos" w:eastAsia="Tinos" w:cs="Tinos"/>
          </w:rPr>
          <w:t xml:space="preserve">vaDV@tv.rosseti-sib.ru</w:t>
        </w:r>
      </w:hyperlink>
      <w:r>
        <w:rPr>
          <w:rFonts w:ascii="Tinos" w:hAnsi="Tinos" w:eastAsia="Tinos" w:cs="Tinos"/>
        </w:rPr>
        <w:t xml:space="preserve">, </w:t>
      </w:r>
      <w:hyperlink r:id="rId23" w:tooltip="mailto:BaturinNV@tv.rosseti-sib.ru" w:history="1">
        <w:r>
          <w:rPr>
            <w:rStyle w:val="1036"/>
            <w:rFonts w:ascii="Tinos" w:hAnsi="Tinos" w:eastAsia="Tinos" w:cs="Tinos"/>
          </w:rPr>
          <w:t xml:space="preserve">BaturinNV@tv.rosseti-sib.ru</w:t>
        </w:r>
      </w:hyperlink>
      <w:r>
        <w:rPr>
          <w:rFonts w:ascii="Tinos" w:hAnsi="Tinos" w:eastAsia="Tinos" w:cs="Tinos"/>
        </w:rPr>
        <w:t xml:space="preserve">, </w:t>
      </w:r>
      <w:r>
        <w:rPr>
          <w:rFonts w:ascii="Tinos" w:hAnsi="Tinos" w:eastAsia="Tinos" w:cs="Tinos"/>
          <w:color w:val="0000ff"/>
          <w:u w:val="single"/>
        </w:rPr>
        <w:t xml:space="preserve">KularAY@tv.rosseti-sib.ru</w:t>
      </w:r>
      <w:r>
        <w:rPr>
          <w:rFonts w:ascii="Tinos" w:hAnsi="Tinos" w:eastAsia="Tinos" w:cs="Tinos"/>
        </w:rPr>
        <w:t xml:space="preserve">.</w:t>
      </w:r>
      <w:r>
        <w:rPr>
          <w:rFonts w:ascii="Tinos" w:hAnsi="Tinos" w:cs="Tinos"/>
        </w:rPr>
      </w:r>
    </w:p>
    <w:p>
      <w:pPr>
        <w:pStyle w:val="1027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</w:t>
      </w:r>
      <w:r>
        <w:rPr>
          <w:rFonts w:ascii="Tinos" w:hAnsi="Tinos" w:eastAsia="Tinos" w:cs="Tinos"/>
          <w:sz w:val="22"/>
          <w:szCs w:val="22"/>
        </w:rPr>
        <w:t xml:space="preserve">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</w:t>
      </w:r>
      <w:r>
        <w:rPr>
          <w:rFonts w:ascii="Tinos" w:hAnsi="Tinos" w:eastAsia="Tinos" w:cs="Tinos"/>
          <w:sz w:val="22"/>
          <w:szCs w:val="22"/>
        </w:rPr>
        <w:t xml:space="preserve">емлемой частью.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</w:p>
    <w:p>
      <w:pPr>
        <w:pStyle w:val="1027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деятельности АО «Россети Сибирь Тываэнерго» в результате реорганизации путем присоединения к ПА</w:t>
      </w:r>
      <w:r>
        <w:rPr>
          <w:rFonts w:ascii="Tinos" w:hAnsi="Tinos" w:eastAsia="Tinos" w:cs="Tinos"/>
          <w:sz w:val="22"/>
          <w:szCs w:val="22"/>
        </w:rPr>
        <w:t xml:space="preserve">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Приложения к Договору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1. Спецификация.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Приложение № 5. </w:t>
      </w:r>
      <w:r>
        <w:rPr>
          <w:rFonts w:ascii="Tinos" w:hAnsi="Tinos" w:eastAsia="Tinos" w:cs="Tinos"/>
        </w:rPr>
        <w:t xml:space="preserve">Характеристики и требования к поставляемой продукции.</w:t>
      </w:r>
      <w:r>
        <w:rPr>
          <w:rFonts w:ascii="Tinos" w:hAnsi="Tinos" w:cs="Tinos"/>
        </w:rPr>
      </w:r>
    </w:p>
    <w:p>
      <w:pPr>
        <w:ind w:left="36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</w:rPr>
        <w:suppressLineNumbers/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</w:rPr>
        <w:suppressLineNumbers/>
      </w:pPr>
      <w:r>
        <w:rPr>
          <w:rFonts w:ascii="Tinos" w:hAnsi="Tinos" w:eastAsia="Tinos" w:cs="Tinos"/>
          <w:b/>
        </w:rPr>
        <w:t xml:space="preserve">16.  Юридические адреса и реквизиты сторон</w:t>
      </w:r>
      <w:r>
        <w:rPr>
          <w:rFonts w:ascii="Tinos" w:hAnsi="Tinos" w:cs="Tinos"/>
          <w:b/>
        </w:rPr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960"/>
        <w:gridCol w:w="4819"/>
      </w:tblGrid>
      <w:tr>
        <w:tblPrEx/>
        <w:trPr>
          <w:trHeight w:val="3465"/>
        </w:trPr>
        <w:tc>
          <w:tcPr>
            <w:tcW w:w="496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3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ОГРН 1021700509566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_____________________/</w:t>
            </w:r>
            <w:r>
              <w:rPr>
                <w:rFonts w:ascii="Tinos" w:hAnsi="Tinos" w:eastAsia="Tinos" w:cs="Tinos"/>
              </w:rPr>
              <w:t xml:space="preserve"> А.В. Лукин /</w:t>
            </w:r>
            <w:r>
              <w:rPr>
                <w:rFonts w:ascii="Tinos" w:hAnsi="Tinos" w:cs="Tino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юридический: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Адрес почтовый: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ИНН/КПП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Р/с 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К/с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БИК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ОГРН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ОКПО</w:t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</w:rPr>
              <w:suppressLineNumbers/>
            </w:pPr>
            <w:r>
              <w:rPr>
                <w:rFonts w:ascii="Tinos" w:hAnsi="Tinos" w:cs="Tinos"/>
                <w:bCs/>
              </w:rPr>
            </w:r>
            <w:r>
              <w:rPr>
                <w:rFonts w:ascii="Tinos" w:hAnsi="Tinos" w:cs="Tinos"/>
                <w:bCs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Cs/>
              </w:rPr>
              <w:t xml:space="preserve">_____________________/  /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202"/>
        </w:trPr>
        <w:tc>
          <w:tcPr>
            <w:tcW w:w="496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  <w:b/>
              </w:rPr>
              <w:t xml:space="preserve">М.П.</w:t>
            </w:r>
            <w:r>
              <w:rPr>
                <w:rFonts w:ascii="Tinos" w:hAnsi="Tinos" w:cs="Tinos"/>
              </w:rPr>
            </w:r>
          </w:p>
        </w:tc>
      </w:tr>
      <w:tr>
        <w:tblPrEx/>
        <w:trPr>
          <w:trHeight w:val="679"/>
        </w:trPr>
        <w:tc>
          <w:tcPr>
            <w:tcW w:w="496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eastAsia="Tinos" w:cs="Tinos"/>
              </w:rPr>
              <w:t xml:space="preserve">«_____»_____________20___г.</w:t>
            </w:r>
            <w:r>
              <w:rPr>
                <w:rFonts w:ascii="Tinos" w:hAnsi="Tinos" w:cs="Tinos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</w:rPr>
              <w:suppressLineNumbers/>
            </w:pP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pStyle w:val="1029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992" w:bottom="851" w:left="992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b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pStyle w:val="1029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СПЕЦИФИКАЦИЯ №_</w:t>
      </w:r>
      <w:r>
        <w:rPr>
          <w:rFonts w:ascii="Tinos" w:hAnsi="Tinos" w:eastAsia="Tinos" w:cs="Tinos"/>
          <w:bCs/>
        </w:rPr>
        <w:t xml:space="preserve">_____от _______20__г.</w:t>
      </w:r>
      <w:r>
        <w:rPr>
          <w:rFonts w:ascii="Tinos" w:hAnsi="Tinos" w:cs="Tinos"/>
          <w:bCs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margin" w:tblpXSpec="center" w:vertAnchor="text" w:tblpY="139" w:leftFromText="180" w:topFromText="0" w:rightFromText="180" w:bottomFromText="0"/>
        <w:tblW w:w="1027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42"/>
        <w:gridCol w:w="1843"/>
        <w:gridCol w:w="1417"/>
        <w:gridCol w:w="1276"/>
        <w:gridCol w:w="850"/>
        <w:gridCol w:w="886"/>
        <w:gridCol w:w="1063"/>
        <w:gridCol w:w="1134"/>
      </w:tblGrid>
      <w:tr>
        <w:tblPrEx/>
        <w:trPr/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(при наличии)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3511000123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Провод неизолированный АС-35/6,2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м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color w:val="000000"/>
                <w:sz w:val="20"/>
                <w:szCs w:val="20"/>
              </w:rPr>
              <w:t xml:space="preserve">5304,00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063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68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8"/>
            <w:tcW w:w="9139" w:type="dxa"/>
            <w:vAlign w:val="center"/>
            <w:textDirection w:val="lrTb"/>
            <w:noWrap w:val="false"/>
          </w:tcPr>
          <w:p>
            <w:pPr>
              <w:jc w:val="right"/>
              <w:spacing w:after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pStyle w:val="1027"/>
        <w:ind w:firstLine="0"/>
        <w:jc w:val="left"/>
        <w:spacing w:before="0" w:after="0" w:line="17" w:lineRule="atLeast"/>
        <w:widowControl w:val="off"/>
        <w:tabs>
          <w:tab w:val="left" w:pos="142" w:leader="none"/>
          <w:tab w:val="left" w:pos="283" w:leader="none"/>
          <w:tab w:val="left" w:pos="10435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27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i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  Срок поставки: </w:t>
      </w:r>
      <w:r>
        <w:rPr>
          <w:rFonts w:ascii="Tinos" w:hAnsi="Tinos" w:eastAsia="Tinos" w:cs="Tinos"/>
        </w:rPr>
        <w:t xml:space="preserve">в период с 01.04.2026 г. по 30.04.2026 г.</w:t>
      </w:r>
      <w:r/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b/>
          <w:i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</w:rPr>
        <w:t xml:space="preserve">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tabs>
          <w:tab w:val="left" w:pos="142" w:leader="none"/>
        </w:tabs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ПОКУПАТЕЛЬ                </w:t>
      </w:r>
      <w:r>
        <w:rPr>
          <w:rFonts w:ascii="Tinos" w:hAnsi="Tinos" w:eastAsia="Tinos" w:cs="Tinos"/>
          <w:bCs/>
        </w:rPr>
        <w:tab/>
        <w:t xml:space="preserve">                        </w:t>
      </w:r>
      <w:r>
        <w:rPr>
          <w:rFonts w:ascii="Tinos" w:hAnsi="Tinos" w:eastAsia="Tinos" w:cs="Tinos"/>
          <w:bCs/>
        </w:rPr>
        <w:t xml:space="preserve">             ПОСТАВЩИК</w:t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   _____________________/</w:t>
      </w:r>
      <w:r>
        <w:rPr>
          <w:rFonts w:ascii="Tinos" w:hAnsi="Tinos" w:eastAsia="Tinos" w:cs="Tinos"/>
        </w:rPr>
        <w:t xml:space="preserve"> А.В. Лукин</w:t>
      </w:r>
      <w:r>
        <w:rPr>
          <w:rFonts w:ascii="Tinos" w:hAnsi="Tinos" w:eastAsia="Tinos" w:cs="Tinos"/>
          <w:bCs/>
        </w:rPr>
        <w:t xml:space="preserve"> /                     _____________________/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cs="Tinos"/>
        </w:rPr>
      </w:r>
    </w:p>
    <w:p>
      <w:pPr>
        <w:spacing w:after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   М.П.                                                                              М.П.   </w:t>
      </w:r>
      <w:r>
        <w:rPr>
          <w:rFonts w:ascii="Tinos" w:hAnsi="Tinos" w:cs="Tinos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2</w:t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</w:p>
    <w:p>
      <w:pPr>
        <w:contextualSpacing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/>
      <w:bookmarkStart w:id="1" w:name="_Toc359424111"/>
      <w:r/>
      <w:r>
        <w:rPr>
          <w:rFonts w:ascii="Tinos" w:hAnsi="Tinos" w:cs="Tinos"/>
          <w:b/>
          <w:caps/>
          <w:sz w:val="20"/>
          <w:szCs w:val="20"/>
        </w:rPr>
      </w:r>
    </w:p>
    <w:p>
      <w:pPr>
        <w:contextualSpacing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b/>
          <w:caps/>
          <w:sz w:val="20"/>
          <w:szCs w:val="20"/>
        </w:rPr>
        <w:t xml:space="preserve">    СО 6.1401/0</w:t>
      </w:r>
      <w:bookmarkEnd w:id="1"/>
      <w:r/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Информация о собственниках конт</w:t>
      </w:r>
      <w:r>
        <w:rPr>
          <w:rFonts w:ascii="Tinos" w:hAnsi="Tinos" w:eastAsia="Tinos" w:cs="Tinos"/>
          <w:b/>
          <w:caps/>
          <w:sz w:val="20"/>
          <w:szCs w:val="20"/>
        </w:rPr>
        <w:t xml:space="preserve">рагента (включая конечных бенефициаров)</w:t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0"/>
          <w:szCs w:val="20"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Приложение № 3</w:t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от "____" __________ 20___</w:t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/>
      <w:bookmarkStart w:id="2" w:name="_Ref276562987"/>
      <w:r/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от «_____» ____________ 202____ г.</w:t>
      </w:r>
      <w:r>
        <w:rPr>
          <w:rFonts w:ascii="Tinos" w:hAnsi="Tinos" w:cs="Tinos"/>
          <w:b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</w:t>
      </w:r>
      <w:r>
        <w:rPr>
          <w:rFonts w:ascii="Tinos" w:hAnsi="Tinos" w:eastAsia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</w:t>
      </w:r>
      <w:r>
        <w:rPr>
          <w:rFonts w:ascii="Tinos" w:hAnsi="Tinos" w:eastAsia="Tinos" w:cs="Tinos"/>
          <w:b/>
          <w:i/>
          <w:sz w:val="20"/>
          <w:szCs w:val="20"/>
        </w:rPr>
        <w:t xml:space="preserve">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</w:t>
      </w:r>
      <w:r>
        <w:rPr>
          <w:rFonts w:ascii="Tinos" w:hAnsi="Tinos" w:eastAsia="Tinos" w:cs="Tinos"/>
          <w:b/>
          <w:i/>
          <w:sz w:val="20"/>
          <w:szCs w:val="20"/>
        </w:rPr>
        <w:t xml:space="preserve">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</w:t>
      </w:r>
      <w:r>
        <w:rPr>
          <w:rFonts w:ascii="Tinos" w:hAnsi="Tinos" w:eastAsia="Tinos" w:cs="Tinos"/>
          <w:sz w:val="20"/>
          <w:szCs w:val="20"/>
        </w:rPr>
        <w:t xml:space="preserve">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</w:t>
      </w:r>
      <w:r>
        <w:rPr>
          <w:rFonts w:ascii="Tinos" w:hAnsi="Tinos" w:eastAsia="Tinos" w:cs="Tinos"/>
          <w:sz w:val="20"/>
          <w:szCs w:val="20"/>
        </w:rPr>
        <w:t xml:space="preserve"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nos" w:hAnsi="Tinos" w:eastAsia="Tinos" w:cs="Tinos"/>
          <w:sz w:val="20"/>
          <w:szCs w:val="20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представление указанной информации в уполномоченные госуда</w:t>
      </w:r>
      <w:r>
        <w:rPr>
          <w:rFonts w:ascii="Tinos" w:hAnsi="Tinos" w:eastAsia="Tinos" w:cs="Tinos"/>
          <w:sz w:val="20"/>
          <w:szCs w:val="20"/>
        </w:rPr>
        <w:t xml:space="preserve"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обработки персональных </w:t>
      </w:r>
      <w:r>
        <w:rPr>
          <w:rFonts w:ascii="Tinos" w:hAnsi="Tinos" w:eastAsia="Tinos" w:cs="Tinos"/>
          <w:sz w:val="20"/>
          <w:szCs w:val="20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</w:t>
      </w:r>
      <w:r>
        <w:rPr>
          <w:rFonts w:ascii="Tinos" w:hAnsi="Tinos" w:eastAsia="Tinos" w:cs="Tinos"/>
          <w:sz w:val="20"/>
          <w:szCs w:val="20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</w:t>
      </w:r>
      <w:r>
        <w:rPr>
          <w:rFonts w:ascii="Tinos" w:hAnsi="Tinos" w:eastAsia="Tinos" w:cs="Tinos"/>
          <w:sz w:val="20"/>
          <w:szCs w:val="20"/>
        </w:rPr>
        <w:t xml:space="preserve">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</w:t>
      </w:r>
      <w:r>
        <w:rPr>
          <w:rFonts w:ascii="Tinos" w:hAnsi="Tinos" w:eastAsia="Tinos" w:cs="Tinos"/>
          <w:sz w:val="20"/>
          <w:szCs w:val="20"/>
        </w:rPr>
        <w:t xml:space="preserve">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</w:t>
      </w:r>
      <w:r>
        <w:rPr>
          <w:rFonts w:ascii="Tinos" w:hAnsi="Tinos" w:eastAsia="Tinos" w:cs="Tinos"/>
          <w:b/>
          <w:bCs/>
          <w:sz w:val="20"/>
          <w:szCs w:val="20"/>
        </w:rPr>
        <w:t xml:space="preserve">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hAnsi="Tinos" w:eastAsia="Tinos" w:cs="Tinos"/>
          <w:sz w:val="20"/>
          <w:szCs w:val="20"/>
        </w:rPr>
        <w:t xml:space="preserve"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</w:t>
      </w:r>
      <w:r>
        <w:rPr>
          <w:rFonts w:ascii="Tinos" w:hAnsi="Tinos" w:eastAsia="Tinos" w:cs="Tinos"/>
          <w:sz w:val="20"/>
          <w:szCs w:val="20"/>
        </w:rPr>
        <w:t xml:space="preserve"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hAnsi="Tinos" w:eastAsia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hAnsi="Tinos" w:eastAsia="Tinos" w:cs="Tinos"/>
          <w:sz w:val="20"/>
          <w:szCs w:val="20"/>
        </w:rPr>
        <w:t xml:space="preserve"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hAnsi="Tinos" w:eastAsia="Tinos" w:cs="Tinos"/>
          <w:sz w:val="20"/>
          <w:szCs w:val="20"/>
        </w:rPr>
        <w:t xml:space="preserve"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hAnsi="Tinos" w:eastAsia="Tinos" w:cs="Tinos"/>
          <w:sz w:val="20"/>
          <w:szCs w:val="20"/>
        </w:rPr>
        <w:t xml:space="preserve">.</w:t>
      </w:r>
      <w:bookmarkEnd w:id="2"/>
      <w:r/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  <w:tr>
        <w:tblPrEx/>
        <w:trPr>
          <w:trHeight w:val="3367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____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jc w:val="right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tabs>
          <w:tab w:val="left" w:pos="41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47"/>
        <w:numPr>
          <w:ilvl w:val="0"/>
          <w:numId w:val="17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участник закупки (Поставщик) предоставил аномально низкое ценовое предложение, выраженное 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по Договору в следующем размере: 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19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</w:t>
      </w: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ательств по Договору в размере аванса.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1"/>
          <w:numId w:val="20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ляется.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Об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0"/>
          <w:numId w:val="21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</w:p>
    <w:p>
      <w:pPr>
        <w:pStyle w:val="1047"/>
        <w:numPr>
          <w:ilvl w:val="0"/>
          <w:numId w:val="18"/>
        </w:numPr>
        <w:ind w:left="0"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  <w:sz w:val="20"/>
          <w:szCs w:val="20"/>
        </w:rPr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>
        <w:tblPrEx/>
        <w:trPr>
          <w:trHeight w:val="908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____ /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387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</w:p>
        </w:tc>
      </w:tr>
      <w:tr>
        <w:tblPrEx/>
        <w:trPr>
          <w:trHeight w:val="686"/>
        </w:trPr>
        <w:tc>
          <w:tcPr>
            <w:tcW w:w="5210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4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</w:rPr>
              <w:suppressLineNumbers/>
            </w:pP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5</w:t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от "____" __________ 20___г.</w:t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after="0" w:line="17" w:lineRule="atLeast"/>
        <w:tabs>
          <w:tab w:val="left" w:pos="4109" w:leader="none"/>
        </w:tabs>
        <w:rPr>
          <w:rFonts w:ascii="Tinos" w:hAnsi="Tinos" w:cs="Tinos"/>
          <w:b/>
          <w:bCs/>
        </w:rPr>
      </w:pPr>
      <w:r>
        <w:rPr>
          <w:rFonts w:ascii="Tinos" w:hAnsi="Tinos" w:eastAsia="Tinos" w:cs="Tinos"/>
          <w:sz w:val="20"/>
          <w:szCs w:val="20"/>
        </w:rPr>
        <w:t xml:space="preserve">       </w:t>
      </w:r>
      <w:r>
        <w:rPr>
          <w:rFonts w:ascii="Tinos" w:hAnsi="Tinos" w:eastAsia="Tinos" w:cs="Tinos"/>
          <w:b/>
          <w:bCs/>
        </w:rPr>
        <w:t xml:space="preserve">Характеристики и требования к поставляемой продукции</w:t>
      </w:r>
      <w:r>
        <w:rPr>
          <w:rFonts w:ascii="Tinos" w:hAnsi="Tinos" w:cs="Tinos"/>
          <w:b/>
          <w:bCs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hAnsi="Tinos" w:eastAsia="Tinos" w:cs="Tinos"/>
          <w:b/>
          <w:bCs/>
        </w:rPr>
        <w:t xml:space="preserve">Провод неизолированный АС-35/6,2</w:t>
      </w:r>
      <w:r>
        <w:rPr>
          <w:rFonts w:ascii="Tinos" w:hAnsi="Tinos" w:cs="Tinos"/>
          <w:b/>
          <w:bCs/>
          <w:sz w:val="28"/>
          <w:szCs w:val="28"/>
        </w:rPr>
      </w:r>
    </w:p>
    <w:p>
      <w:pPr>
        <w:jc w:val="center"/>
        <w:spacing w:after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Style w:val="1046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4961"/>
        <w:gridCol w:w="2409"/>
        <w:gridCol w:w="2284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pStyle w:val="1070"/>
              <w:ind w:firstLine="0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70"/>
              <w:ind w:firstLine="0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70"/>
              <w:ind w:firstLine="0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Технические характеристики </w:t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70"/>
              <w:ind w:firstLine="0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70"/>
              <w:ind w:firstLine="0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pStyle w:val="1070"/>
              <w:ind w:firstLine="0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85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2.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85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3.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1085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Количество, м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70"/>
              <w:ind w:firstLine="0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5 304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4.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keepNext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Основные параметры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Номинальное напряжение: кВ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35 кВ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Температура окружающей среды при эксплуатации кабеля С.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от -60 до +40 °С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4.3.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Предельная длительно допустимая температура нагрева жил, С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90°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/>
            <w:bookmarkStart w:id="3" w:name="undefined"/>
            <w:r/>
            <w:bookmarkEnd w:id="3"/>
            <w:r/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4.4.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Допустимая токовая нагрузка (А)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172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4.5.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Прочность при растяжении жилы (кН)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13,524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4.6.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мощность при прокладке в воздухе, 220V (кВт)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50,45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4.7.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не менее, лет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45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4.8.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firstLine="34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Максимальная мощность при прокладке в воздухе, 380V (кВт)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pStyle w:val="1085"/>
              <w:jc w:val="center"/>
              <w:spacing w:line="17" w:lineRule="atLeast"/>
              <w:rPr>
                <w:rFonts w:ascii="Tinos" w:hAnsi="Tinos" w:cs="Tinos"/>
                <w:bCs/>
                <w:sz w:val="24"/>
                <w:szCs w:val="24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256,62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5.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Комплектность поставки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trike/>
                <w:sz w:val="24"/>
                <w:szCs w:val="24"/>
              </w:rPr>
            </w:pPr>
            <w:r>
              <w:rPr>
                <w:rFonts w:ascii="Tinos" w:hAnsi="Tinos" w:cs="Tinos"/>
                <w:strike/>
                <w:sz w:val="24"/>
                <w:szCs w:val="24"/>
              </w:rPr>
            </w:r>
            <w:r>
              <w:rPr>
                <w:rFonts w:ascii="Tinos" w:hAnsi="Tinos" w:cs="Tinos"/>
                <w:strike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Технический паспорт, документация по монтажу, наладке и эксплуатации на русском языке, экз.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6.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ind w:firstLine="567"/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6.2.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Нет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16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6.3.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Да</w:t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4" w:type="dxa"/>
            <w:textDirection w:val="lrTb"/>
            <w:noWrap w:val="false"/>
          </w:tcPr>
          <w:p>
            <w:pPr>
              <w:jc w:val="center"/>
              <w:spacing w:line="17" w:lineRule="atLeast"/>
              <w:rPr>
                <w:rFonts w:ascii="Tinos" w:hAnsi="Tinos" w:cs="Tinos"/>
                <w:b/>
                <w:bCs/>
                <w:sz w:val="28"/>
                <w:szCs w:val="28"/>
              </w:rPr>
            </w:pP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  <w:r>
              <w:rPr>
                <w:rFonts w:ascii="Tinos" w:hAnsi="Tinos" w:cs="Tinos"/>
                <w:b/>
                <w:bCs/>
                <w:sz w:val="28"/>
                <w:szCs w:val="28"/>
              </w:rPr>
            </w:r>
          </w:p>
        </w:tc>
      </w:tr>
    </w:tbl>
    <w:p>
      <w:pPr>
        <w:spacing w:after="0" w:line="17" w:lineRule="atLeast"/>
        <w:tabs>
          <w:tab w:val="left" w:pos="410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849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4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1042"/>
    </w:pPr>
    <w:r/>
    <w:r/>
  </w:p>
  <w:p>
    <w:pPr>
      <w:pStyle w:val="1042"/>
    </w:pPr>
    <w:r/>
    <w:r/>
  </w:p>
  <w:p>
    <w:pPr>
      <w:pStyle w:val="104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14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32"/>
          <w:i/>
        </w:rPr>
        <w:footnoteRef/>
      </w:r>
      <w:r>
        <w:rPr>
          <w:i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Пункт включается в условия договора, заключаемого с контрагентом</w:t>
      </w:r>
      <w:r>
        <w:rPr>
          <w:rFonts w:ascii="Tinos" w:hAnsi="Tinos" w:eastAsia="Tinos" w:cs="Tinos"/>
          <w:i/>
          <w:sz w:val="18"/>
          <w:szCs w:val="18"/>
        </w:rPr>
        <w:t xml:space="preserve">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86"/>
        <w:spacing w:before="0" w:after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087"/>
        </w:rPr>
        <w:footnoteRef/>
      </w:r>
      <w:r>
        <w:rPr>
          <w:rStyle w:val="1087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</w:p>
  </w:footnote>
  <w:footnote w:id="4">
    <w:p>
      <w:pPr>
        <w:pStyle w:val="1014"/>
        <w:spacing w:before="0" w:after="0" w:line="17" w:lineRule="atLeast"/>
      </w:pPr>
      <w:r>
        <w:rPr>
          <w:rStyle w:val="1032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</w:t>
      </w:r>
      <w:r>
        <w:rPr>
          <w:rFonts w:ascii="Tinos" w:hAnsi="Tinos" w:eastAsia="Tinos" w:cs="Tinos"/>
          <w:i/>
          <w:sz w:val="18"/>
          <w:szCs w:val="18"/>
        </w:rPr>
        <w:t xml:space="preserve">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5">
    <w:p>
      <w:pPr>
        <w:pStyle w:val="1014"/>
      </w:pPr>
      <w:r>
        <w:rPr>
          <w:rStyle w:val="1032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  <w:r/>
    </w:p>
  </w:footnote>
  <w:footnote w:id="6">
    <w:p>
      <w:pPr>
        <w:pStyle w:val="1014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32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sz w:val="18"/>
          <w:szCs w:val="18"/>
        </w:rPr>
      </w:r>
    </w:p>
  </w:footnote>
  <w:footnote w:id="7">
    <w:p>
      <w:pPr>
        <w:pStyle w:val="1014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1032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</w:t>
      </w:r>
      <w:r>
        <w:rPr>
          <w:rFonts w:ascii="Tinos" w:hAnsi="Tinos" w:eastAsia="Tinos" w:cs="Tinos"/>
          <w:i/>
          <w:sz w:val="18"/>
          <w:szCs w:val="18"/>
        </w:rPr>
        <w:t xml:space="preserve">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</w:t>
      </w:r>
      <w:r>
        <w:rPr>
          <w:rFonts w:ascii="Tinos" w:hAnsi="Tinos" w:eastAsia="Tinos" w:cs="Tinos"/>
          <w:i/>
          <w:sz w:val="18"/>
          <w:szCs w:val="18"/>
        </w:rPr>
        <w:t xml:space="preserve">иком до заключения договора. С учетом выбранного субъектом МСП на стадии закупки способа обеспечения раздел корректируется.</w:t>
      </w:r>
      <w:r>
        <w:rPr>
          <w:rFonts w:ascii="Tinos" w:hAnsi="Tinos" w:cs="Tinos"/>
          <w:sz w:val="18"/>
          <w:szCs w:val="18"/>
        </w:rPr>
      </w:r>
    </w:p>
  </w:footnote>
  <w:footnote w:id="8">
    <w:p>
      <w:pPr>
        <w:pStyle w:val="1014"/>
      </w:pPr>
      <w:r>
        <w:rPr>
          <w:rStyle w:val="1032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</w:t>
      </w:r>
      <w:r>
        <w:rPr>
          <w:bCs/>
          <w:i/>
        </w:rPr>
        <w:t xml:space="preserve">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pStyle w:val="1028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29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30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2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32">
    <w:multiLevelType w:val="hybridMultilevel"/>
    <w:styleLink w:val="1033"/>
    <w:lvl w:ilvl="0">
      <w:start w:val="2"/>
      <w:numFmt w:val="decimal"/>
      <w:pStyle w:val="103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3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17"/>
  </w:num>
  <w:num w:numId="6">
    <w:abstractNumId w:val="10"/>
  </w:num>
  <w:num w:numId="7">
    <w:abstractNumId w:val="23"/>
  </w:num>
  <w:num w:numId="8">
    <w:abstractNumId w:val="14"/>
  </w:num>
  <w:num w:numId="9">
    <w:abstractNumId w:val="1"/>
  </w:num>
  <w:num w:numId="10">
    <w:abstractNumId w:val="12"/>
  </w:num>
  <w:num w:numId="11">
    <w:abstractNumId w:val="20"/>
  </w:num>
  <w:num w:numId="12">
    <w:abstractNumId w:val="5"/>
  </w:num>
  <w:num w:numId="13">
    <w:abstractNumId w:val="7"/>
  </w:num>
  <w:num w:numId="14">
    <w:abstractNumId w:val="26"/>
  </w:num>
  <w:num w:numId="15">
    <w:abstractNumId w:val="18"/>
  </w:num>
  <w:num w:numId="16">
    <w:abstractNumId w:val="25"/>
  </w:num>
  <w:num w:numId="17">
    <w:abstractNumId w:val="2"/>
  </w:num>
  <w:num w:numId="18">
    <w:abstractNumId w:val="22"/>
  </w:num>
  <w:num w:numId="19">
    <w:abstractNumId w:val="24"/>
  </w:num>
  <w:num w:numId="20">
    <w:abstractNumId w:val="31"/>
  </w:num>
  <w:num w:numId="21">
    <w:abstractNumId w:val="29"/>
  </w:num>
  <w:num w:numId="22">
    <w:abstractNumId w:val="32"/>
  </w:num>
  <w:num w:numId="23">
    <w:abstractNumId w:val="15"/>
  </w:num>
  <w:num w:numId="24">
    <w:abstractNumId w:val="8"/>
  </w:num>
  <w:num w:numId="25">
    <w:abstractNumId w:val="19"/>
  </w:num>
  <w:num w:numId="26">
    <w:abstractNumId w:val="27"/>
  </w:num>
  <w:num w:numId="27">
    <w:abstractNumId w:val="4"/>
  </w:num>
  <w:num w:numId="28">
    <w:abstractNumId w:val="3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9">
    <w:abstractNumId w:val="3"/>
  </w:num>
  <w:num w:numId="30">
    <w:abstractNumId w:val="16"/>
  </w:num>
  <w:num w:numId="31">
    <w:abstractNumId w:val="3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32">
    <w:abstractNumId w:val="35"/>
  </w:num>
  <w:num w:numId="33">
    <w:abstractNumId w:val="11"/>
  </w:num>
  <w:num w:numId="34">
    <w:abstractNumId w:val="36"/>
  </w:num>
  <w:num w:numId="35">
    <w:abstractNumId w:val="30"/>
  </w:num>
  <w:num w:numId="36">
    <w:abstractNumId w:val="9"/>
  </w:num>
  <w:num w:numId="37">
    <w:abstractNumId w:val="28"/>
  </w:num>
  <w:num w:numId="38">
    <w:abstractNumId w:val="37"/>
  </w:num>
  <w:num w:numId="39">
    <w:abstractNumId w:val="38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40">
    <w:abstractNumId w:val="39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3" w:default="1">
    <w:name w:val="Normal"/>
    <w:qFormat/>
  </w:style>
  <w:style w:type="paragraph" w:styleId="834">
    <w:name w:val="Heading 1"/>
    <w:basedOn w:val="833"/>
    <w:next w:val="833"/>
    <w:link w:val="1034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35">
    <w:name w:val="Heading 2"/>
    <w:basedOn w:val="833"/>
    <w:next w:val="833"/>
    <w:link w:val="85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36">
    <w:name w:val="Heading 3"/>
    <w:basedOn w:val="833"/>
    <w:next w:val="833"/>
    <w:link w:val="1035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37">
    <w:name w:val="Heading 4"/>
    <w:basedOn w:val="833"/>
    <w:next w:val="833"/>
    <w:link w:val="85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8">
    <w:name w:val="Heading 5"/>
    <w:basedOn w:val="833"/>
    <w:next w:val="833"/>
    <w:link w:val="86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9">
    <w:name w:val="Heading 6"/>
    <w:basedOn w:val="833"/>
    <w:next w:val="833"/>
    <w:link w:val="86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40">
    <w:name w:val="Heading 7"/>
    <w:basedOn w:val="833"/>
    <w:next w:val="833"/>
    <w:link w:val="86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41">
    <w:name w:val="Heading 8"/>
    <w:basedOn w:val="833"/>
    <w:next w:val="833"/>
    <w:link w:val="86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42">
    <w:name w:val="Heading 9"/>
    <w:basedOn w:val="833"/>
    <w:next w:val="833"/>
    <w:link w:val="86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character" w:styleId="846" w:customStyle="1">
    <w:name w:val="Heading 2 Char"/>
    <w:basedOn w:val="843"/>
    <w:uiPriority w:val="9"/>
    <w:rPr>
      <w:rFonts w:ascii="Arial" w:hAnsi="Arial" w:eastAsia="Arial" w:cs="Arial"/>
      <w:sz w:val="34"/>
    </w:rPr>
  </w:style>
  <w:style w:type="character" w:styleId="847" w:customStyle="1">
    <w:name w:val="Heading 4 Char"/>
    <w:basedOn w:val="843"/>
    <w:uiPriority w:val="9"/>
    <w:rPr>
      <w:rFonts w:ascii="Arial" w:hAnsi="Arial" w:eastAsia="Arial" w:cs="Arial"/>
      <w:b/>
      <w:bCs/>
      <w:sz w:val="26"/>
      <w:szCs w:val="26"/>
    </w:rPr>
  </w:style>
  <w:style w:type="character" w:styleId="848" w:customStyle="1">
    <w:name w:val="Heading 5 Char"/>
    <w:basedOn w:val="843"/>
    <w:uiPriority w:val="9"/>
    <w:rPr>
      <w:rFonts w:ascii="Arial" w:hAnsi="Arial" w:eastAsia="Arial" w:cs="Arial"/>
      <w:b/>
      <w:bCs/>
      <w:sz w:val="24"/>
      <w:szCs w:val="24"/>
    </w:rPr>
  </w:style>
  <w:style w:type="character" w:styleId="849" w:customStyle="1">
    <w:name w:val="Heading 6 Char"/>
    <w:basedOn w:val="843"/>
    <w:uiPriority w:val="9"/>
    <w:rPr>
      <w:rFonts w:ascii="Arial" w:hAnsi="Arial" w:eastAsia="Arial" w:cs="Arial"/>
      <w:b/>
      <w:bCs/>
      <w:sz w:val="22"/>
      <w:szCs w:val="22"/>
    </w:rPr>
  </w:style>
  <w:style w:type="character" w:styleId="850" w:customStyle="1">
    <w:name w:val="Heading 7 Char"/>
    <w:basedOn w:val="8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1" w:customStyle="1">
    <w:name w:val="Heading 8 Char"/>
    <w:basedOn w:val="843"/>
    <w:uiPriority w:val="9"/>
    <w:rPr>
      <w:rFonts w:ascii="Arial" w:hAnsi="Arial" w:eastAsia="Arial" w:cs="Arial"/>
      <w:i/>
      <w:iCs/>
      <w:sz w:val="22"/>
      <w:szCs w:val="22"/>
    </w:rPr>
  </w:style>
  <w:style w:type="character" w:styleId="852" w:customStyle="1">
    <w:name w:val="Heading 9 Char"/>
    <w:basedOn w:val="843"/>
    <w:uiPriority w:val="9"/>
    <w:rPr>
      <w:rFonts w:ascii="Arial" w:hAnsi="Arial" w:eastAsia="Arial" w:cs="Arial"/>
      <w:i/>
      <w:iCs/>
      <w:sz w:val="21"/>
      <w:szCs w:val="21"/>
    </w:rPr>
  </w:style>
  <w:style w:type="character" w:styleId="853" w:customStyle="1">
    <w:name w:val="Subtitle Char"/>
    <w:basedOn w:val="843"/>
    <w:uiPriority w:val="11"/>
    <w:rPr>
      <w:sz w:val="24"/>
      <w:szCs w:val="24"/>
    </w:rPr>
  </w:style>
  <w:style w:type="character" w:styleId="854" w:customStyle="1">
    <w:name w:val="Quote Char"/>
    <w:uiPriority w:val="29"/>
    <w:rPr>
      <w:i/>
    </w:rPr>
  </w:style>
  <w:style w:type="character" w:styleId="855" w:customStyle="1">
    <w:name w:val="Intense Quote Char"/>
    <w:uiPriority w:val="30"/>
    <w:rPr>
      <w:i/>
    </w:rPr>
  </w:style>
  <w:style w:type="character" w:styleId="856" w:customStyle="1">
    <w:name w:val="Heading 1 Char"/>
    <w:basedOn w:val="843"/>
    <w:uiPriority w:val="9"/>
    <w:rPr>
      <w:rFonts w:ascii="Arial" w:hAnsi="Arial" w:eastAsia="Arial" w:cs="Arial"/>
      <w:sz w:val="40"/>
      <w:szCs w:val="40"/>
    </w:rPr>
  </w:style>
  <w:style w:type="character" w:styleId="857" w:customStyle="1">
    <w:name w:val="Заголовок 2 Знак"/>
    <w:basedOn w:val="843"/>
    <w:link w:val="835"/>
    <w:uiPriority w:val="9"/>
    <w:rPr>
      <w:rFonts w:ascii="Arial" w:hAnsi="Arial" w:eastAsia="Arial" w:cs="Arial"/>
      <w:sz w:val="34"/>
    </w:rPr>
  </w:style>
  <w:style w:type="character" w:styleId="858" w:customStyle="1">
    <w:name w:val="Heading 3 Char"/>
    <w:basedOn w:val="843"/>
    <w:uiPriority w:val="9"/>
    <w:rPr>
      <w:rFonts w:ascii="Arial" w:hAnsi="Arial" w:eastAsia="Arial" w:cs="Arial"/>
      <w:sz w:val="30"/>
      <w:szCs w:val="30"/>
    </w:rPr>
  </w:style>
  <w:style w:type="character" w:styleId="859" w:customStyle="1">
    <w:name w:val="Заголовок 4 Знак"/>
    <w:basedOn w:val="843"/>
    <w:link w:val="837"/>
    <w:uiPriority w:val="9"/>
    <w:rPr>
      <w:rFonts w:ascii="Arial" w:hAnsi="Arial" w:eastAsia="Arial" w:cs="Arial"/>
      <w:b/>
      <w:bCs/>
      <w:sz w:val="26"/>
      <w:szCs w:val="26"/>
    </w:rPr>
  </w:style>
  <w:style w:type="character" w:styleId="860" w:customStyle="1">
    <w:name w:val="Заголовок 5 Знак"/>
    <w:basedOn w:val="843"/>
    <w:link w:val="838"/>
    <w:uiPriority w:val="9"/>
    <w:rPr>
      <w:rFonts w:ascii="Arial" w:hAnsi="Arial" w:eastAsia="Arial" w:cs="Arial"/>
      <w:b/>
      <w:bCs/>
      <w:sz w:val="24"/>
      <w:szCs w:val="24"/>
    </w:rPr>
  </w:style>
  <w:style w:type="character" w:styleId="861" w:customStyle="1">
    <w:name w:val="Заголовок 6 Знак"/>
    <w:basedOn w:val="843"/>
    <w:link w:val="839"/>
    <w:uiPriority w:val="9"/>
    <w:rPr>
      <w:rFonts w:ascii="Arial" w:hAnsi="Arial" w:eastAsia="Arial" w:cs="Arial"/>
      <w:b/>
      <w:bCs/>
      <w:sz w:val="22"/>
      <w:szCs w:val="22"/>
    </w:rPr>
  </w:style>
  <w:style w:type="character" w:styleId="862" w:customStyle="1">
    <w:name w:val="Заголовок 7 Знак"/>
    <w:basedOn w:val="843"/>
    <w:link w:val="8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3" w:customStyle="1">
    <w:name w:val="Заголовок 8 Знак"/>
    <w:basedOn w:val="843"/>
    <w:link w:val="841"/>
    <w:uiPriority w:val="9"/>
    <w:rPr>
      <w:rFonts w:ascii="Arial" w:hAnsi="Arial" w:eastAsia="Arial" w:cs="Arial"/>
      <w:i/>
      <w:iCs/>
      <w:sz w:val="22"/>
      <w:szCs w:val="22"/>
    </w:rPr>
  </w:style>
  <w:style w:type="character" w:styleId="864" w:customStyle="1">
    <w:name w:val="Заголовок 9 Знак"/>
    <w:basedOn w:val="843"/>
    <w:link w:val="842"/>
    <w:uiPriority w:val="9"/>
    <w:rPr>
      <w:rFonts w:ascii="Arial" w:hAnsi="Arial" w:eastAsia="Arial" w:cs="Arial"/>
      <w:i/>
      <w:iCs/>
      <w:sz w:val="21"/>
      <w:szCs w:val="21"/>
    </w:rPr>
  </w:style>
  <w:style w:type="character" w:styleId="865" w:customStyle="1">
    <w:name w:val="Title Char"/>
    <w:basedOn w:val="843"/>
    <w:uiPriority w:val="10"/>
    <w:rPr>
      <w:sz w:val="48"/>
      <w:szCs w:val="48"/>
    </w:rPr>
  </w:style>
  <w:style w:type="paragraph" w:styleId="866">
    <w:name w:val="Subtitle"/>
    <w:basedOn w:val="833"/>
    <w:next w:val="833"/>
    <w:link w:val="867"/>
    <w:uiPriority w:val="11"/>
    <w:qFormat/>
    <w:pPr>
      <w:spacing w:before="200"/>
    </w:pPr>
    <w:rPr>
      <w:sz w:val="24"/>
      <w:szCs w:val="24"/>
    </w:rPr>
  </w:style>
  <w:style w:type="character" w:styleId="867" w:customStyle="1">
    <w:name w:val="Подзаголовок Знак"/>
    <w:basedOn w:val="843"/>
    <w:link w:val="866"/>
    <w:uiPriority w:val="11"/>
    <w:rPr>
      <w:sz w:val="24"/>
      <w:szCs w:val="24"/>
    </w:rPr>
  </w:style>
  <w:style w:type="paragraph" w:styleId="868">
    <w:name w:val="Quote"/>
    <w:basedOn w:val="833"/>
    <w:next w:val="833"/>
    <w:link w:val="869"/>
    <w:uiPriority w:val="29"/>
    <w:qFormat/>
    <w:pPr>
      <w:ind w:left="720" w:right="720"/>
    </w:pPr>
    <w:rPr>
      <w:i/>
    </w:rPr>
  </w:style>
  <w:style w:type="character" w:styleId="869" w:customStyle="1">
    <w:name w:val="Цитата 2 Знак"/>
    <w:link w:val="868"/>
    <w:uiPriority w:val="29"/>
    <w:rPr>
      <w:i/>
    </w:rPr>
  </w:style>
  <w:style w:type="paragraph" w:styleId="870">
    <w:name w:val="Intense Quote"/>
    <w:basedOn w:val="833"/>
    <w:next w:val="833"/>
    <w:link w:val="87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1" w:customStyle="1">
    <w:name w:val="Выделенная цитата Знак"/>
    <w:link w:val="870"/>
    <w:uiPriority w:val="30"/>
    <w:rPr>
      <w:i/>
    </w:rPr>
  </w:style>
  <w:style w:type="character" w:styleId="872" w:customStyle="1">
    <w:name w:val="Header Char"/>
    <w:basedOn w:val="843"/>
    <w:uiPriority w:val="99"/>
  </w:style>
  <w:style w:type="character" w:styleId="873" w:customStyle="1">
    <w:name w:val="Footer Char"/>
    <w:basedOn w:val="843"/>
    <w:uiPriority w:val="99"/>
  </w:style>
  <w:style w:type="paragraph" w:styleId="874">
    <w:name w:val="Caption"/>
    <w:basedOn w:val="833"/>
    <w:next w:val="83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75" w:customStyle="1">
    <w:name w:val="Caption Char"/>
    <w:uiPriority w:val="99"/>
  </w:style>
  <w:style w:type="table" w:styleId="876" w:customStyle="1">
    <w:name w:val="Table Grid Light"/>
    <w:basedOn w:val="84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7">
    <w:name w:val="Plain Table 1"/>
    <w:basedOn w:val="84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8">
    <w:name w:val="Plain Table 2"/>
    <w:basedOn w:val="84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0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2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4" w:customStyle="1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5" w:customStyle="1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6" w:customStyle="1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7" w:customStyle="1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8" w:customStyle="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9" w:customStyle="1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10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1" w:customStyle="1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7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8" w:customStyle="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9" w:customStyle="1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20" w:customStyle="1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21" w:customStyle="1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2" w:customStyle="1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3" w:customStyle="1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4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9" w:customStyle="1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43" w:customStyle="1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5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0" w:customStyle="1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 w:customStyle="1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 w:customStyle="1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6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7" w:customStyle="1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8" w:customStyle="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9" w:customStyle="1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70" w:customStyle="1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71" w:customStyle="1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2" w:customStyle="1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73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ned - Accent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1" w:customStyle="1">
    <w:name w:val="Lined - Accent 1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2" w:customStyle="1">
    <w:name w:val="Lined - Accent 2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3" w:customStyle="1">
    <w:name w:val="Lined - Accent 3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4" w:customStyle="1">
    <w:name w:val="Lined - Accent 4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5" w:customStyle="1">
    <w:name w:val="Lined - Accent 5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6" w:customStyle="1">
    <w:name w:val="Lined - Accent 6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7" w:customStyle="1">
    <w:name w:val="Bordered &amp; Lined - Accent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8" w:customStyle="1">
    <w:name w:val="Bordered &amp; Lined - Accent 1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9" w:customStyle="1">
    <w:name w:val="Bordered &amp; Lined - Accent 2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0" w:customStyle="1">
    <w:name w:val="Bordered &amp; Lined - Accent 3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1" w:customStyle="1">
    <w:name w:val="Bordered &amp; Lined - Accent 4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2" w:customStyle="1">
    <w:name w:val="Bordered &amp; Lined - Accent 5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3" w:customStyle="1">
    <w:name w:val="Bordered &amp; Lined - Accent 6"/>
    <w:basedOn w:val="84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4" w:customStyle="1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5" w:customStyle="1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6" w:customStyle="1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7" w:customStyle="1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8" w:customStyle="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9" w:customStyle="1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00" w:customStyle="1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01" w:customStyle="1">
    <w:name w:val="Footnote Text Char"/>
    <w:uiPriority w:val="99"/>
    <w:rPr>
      <w:sz w:val="18"/>
    </w:rPr>
  </w:style>
  <w:style w:type="character" w:styleId="1002" w:customStyle="1">
    <w:name w:val="Endnote Text Char"/>
    <w:uiPriority w:val="99"/>
    <w:rPr>
      <w:sz w:val="20"/>
    </w:rPr>
  </w:style>
  <w:style w:type="paragraph" w:styleId="1003">
    <w:name w:val="toc 1"/>
    <w:basedOn w:val="833"/>
    <w:next w:val="833"/>
    <w:uiPriority w:val="39"/>
    <w:unhideWhenUsed/>
    <w:pPr>
      <w:spacing w:after="57"/>
    </w:pPr>
  </w:style>
  <w:style w:type="paragraph" w:styleId="1004">
    <w:name w:val="toc 2"/>
    <w:basedOn w:val="833"/>
    <w:next w:val="833"/>
    <w:uiPriority w:val="39"/>
    <w:unhideWhenUsed/>
    <w:pPr>
      <w:ind w:left="283"/>
      <w:spacing w:after="57"/>
    </w:pPr>
  </w:style>
  <w:style w:type="paragraph" w:styleId="1005">
    <w:name w:val="toc 3"/>
    <w:basedOn w:val="833"/>
    <w:next w:val="833"/>
    <w:uiPriority w:val="39"/>
    <w:unhideWhenUsed/>
    <w:pPr>
      <w:ind w:left="567"/>
      <w:spacing w:after="57"/>
    </w:pPr>
  </w:style>
  <w:style w:type="paragraph" w:styleId="1006">
    <w:name w:val="toc 4"/>
    <w:basedOn w:val="833"/>
    <w:next w:val="833"/>
    <w:uiPriority w:val="39"/>
    <w:unhideWhenUsed/>
    <w:pPr>
      <w:ind w:left="850"/>
      <w:spacing w:after="57"/>
    </w:pPr>
  </w:style>
  <w:style w:type="paragraph" w:styleId="1007">
    <w:name w:val="toc 5"/>
    <w:basedOn w:val="833"/>
    <w:next w:val="833"/>
    <w:uiPriority w:val="39"/>
    <w:unhideWhenUsed/>
    <w:pPr>
      <w:ind w:left="1134"/>
      <w:spacing w:after="57"/>
    </w:pPr>
  </w:style>
  <w:style w:type="paragraph" w:styleId="1008">
    <w:name w:val="toc 6"/>
    <w:basedOn w:val="833"/>
    <w:next w:val="833"/>
    <w:uiPriority w:val="39"/>
    <w:unhideWhenUsed/>
    <w:pPr>
      <w:ind w:left="1417"/>
      <w:spacing w:after="57"/>
    </w:pPr>
  </w:style>
  <w:style w:type="paragraph" w:styleId="1009">
    <w:name w:val="toc 7"/>
    <w:basedOn w:val="833"/>
    <w:next w:val="833"/>
    <w:uiPriority w:val="39"/>
    <w:unhideWhenUsed/>
    <w:pPr>
      <w:ind w:left="1701"/>
      <w:spacing w:after="57"/>
    </w:pPr>
  </w:style>
  <w:style w:type="paragraph" w:styleId="1010">
    <w:name w:val="toc 8"/>
    <w:basedOn w:val="833"/>
    <w:next w:val="833"/>
    <w:uiPriority w:val="39"/>
    <w:unhideWhenUsed/>
    <w:pPr>
      <w:ind w:left="1984"/>
      <w:spacing w:after="57"/>
    </w:pPr>
  </w:style>
  <w:style w:type="paragraph" w:styleId="1011">
    <w:name w:val="toc 9"/>
    <w:basedOn w:val="833"/>
    <w:next w:val="833"/>
    <w:uiPriority w:val="39"/>
    <w:unhideWhenUsed/>
    <w:pPr>
      <w:ind w:left="2268"/>
      <w:spacing w:after="57"/>
    </w:pPr>
  </w:style>
  <w:style w:type="paragraph" w:styleId="1012">
    <w:name w:val="TOC Heading"/>
    <w:uiPriority w:val="39"/>
    <w:unhideWhenUsed/>
  </w:style>
  <w:style w:type="paragraph" w:styleId="1013">
    <w:name w:val="table of figures"/>
    <w:basedOn w:val="833"/>
    <w:next w:val="833"/>
    <w:uiPriority w:val="99"/>
    <w:unhideWhenUsed/>
    <w:pPr>
      <w:spacing w:after="0"/>
    </w:pPr>
  </w:style>
  <w:style w:type="paragraph" w:styleId="1014">
    <w:name w:val="footnote text"/>
    <w:basedOn w:val="833"/>
    <w:link w:val="1015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15" w:customStyle="1">
    <w:name w:val="Текст сноски Знак"/>
    <w:basedOn w:val="843"/>
    <w:link w:val="1014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16">
    <w:name w:val="Title"/>
    <w:basedOn w:val="833"/>
    <w:link w:val="1017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17" w:customStyle="1">
    <w:name w:val="Заголовок Знак"/>
    <w:basedOn w:val="843"/>
    <w:link w:val="1016"/>
    <w:rPr>
      <w:rFonts w:ascii="Times New Roman" w:hAnsi="Times New Roman" w:eastAsia="Times New Roman" w:cs="Times New Roman"/>
      <w:sz w:val="24"/>
      <w:szCs w:val="24"/>
    </w:rPr>
  </w:style>
  <w:style w:type="character" w:styleId="1018" w:customStyle="1">
    <w:name w:val="Основной текст Знак"/>
    <w:basedOn w:val="843"/>
    <w:link w:val="1019"/>
    <w:rPr>
      <w:rFonts w:ascii="Times New Roman" w:hAnsi="Times New Roman" w:eastAsia="Times New Roman" w:cs="Times New Roman"/>
      <w:sz w:val="28"/>
      <w:szCs w:val="28"/>
    </w:rPr>
  </w:style>
  <w:style w:type="paragraph" w:styleId="1019">
    <w:name w:val="Body Text"/>
    <w:basedOn w:val="833"/>
    <w:link w:val="1018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20" w:customStyle="1">
    <w:name w:val="Основной текст Знак1"/>
    <w:basedOn w:val="843"/>
    <w:uiPriority w:val="99"/>
    <w:semiHidden/>
  </w:style>
  <w:style w:type="paragraph" w:styleId="1021">
    <w:name w:val="Body Text Indent"/>
    <w:basedOn w:val="833"/>
    <w:link w:val="1022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22" w:customStyle="1">
    <w:name w:val="Основной текст с отступом Знак"/>
    <w:basedOn w:val="843"/>
    <w:link w:val="1021"/>
    <w:rPr>
      <w:rFonts w:ascii="Times New Roman" w:hAnsi="Times New Roman" w:eastAsia="Times New Roman" w:cs="Times New Roman"/>
      <w:sz w:val="24"/>
      <w:szCs w:val="24"/>
    </w:rPr>
  </w:style>
  <w:style w:type="paragraph" w:styleId="1023">
    <w:name w:val="Body Text 2"/>
    <w:basedOn w:val="833"/>
    <w:link w:val="1024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24" w:customStyle="1">
    <w:name w:val="Основной текст 2 Знак"/>
    <w:basedOn w:val="843"/>
    <w:link w:val="1023"/>
    <w:rPr>
      <w:rFonts w:ascii="Times New Roman" w:hAnsi="Times New Roman" w:eastAsia="Times New Roman" w:cs="Times New Roman"/>
      <w:sz w:val="28"/>
      <w:szCs w:val="28"/>
    </w:rPr>
  </w:style>
  <w:style w:type="paragraph" w:styleId="1025">
    <w:name w:val="Body Text 3"/>
    <w:basedOn w:val="833"/>
    <w:link w:val="1026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26" w:customStyle="1">
    <w:name w:val="Основной текст 3 Знак"/>
    <w:basedOn w:val="843"/>
    <w:link w:val="1025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27">
    <w:name w:val="No Spacing"/>
    <w:link w:val="1038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28" w:customStyle="1">
    <w:name w:val="МРСК_заголовок_1"/>
    <w:basedOn w:val="834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29" w:customStyle="1">
    <w:name w:val="МРСК_заголовок_2"/>
    <w:basedOn w:val="833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30" w:customStyle="1">
    <w:name w:val="МРСК_заголовок_3"/>
    <w:basedOn w:val="836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31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32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33" w:customStyle="1">
    <w:name w:val="Стиль22"/>
    <w:pPr>
      <w:numPr>
        <w:ilvl w:val="0"/>
        <w:numId w:val="22"/>
      </w:numPr>
    </w:pPr>
  </w:style>
  <w:style w:type="character" w:styleId="1034" w:customStyle="1">
    <w:name w:val="Заголовок 1 Знак"/>
    <w:basedOn w:val="843"/>
    <w:link w:val="834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35" w:customStyle="1">
    <w:name w:val="Заголовок 3 Знак"/>
    <w:basedOn w:val="843"/>
    <w:link w:val="836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36">
    <w:name w:val="Hyperlink"/>
    <w:basedOn w:val="843"/>
    <w:uiPriority w:val="99"/>
    <w:unhideWhenUsed/>
    <w:rPr>
      <w:color w:val="0000ff" w:themeColor="hyperlink"/>
      <w:u w:val="single"/>
    </w:rPr>
  </w:style>
  <w:style w:type="paragraph" w:styleId="1037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38" w:customStyle="1">
    <w:name w:val="Без интервала Знак"/>
    <w:link w:val="1027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9" w:customStyle="1">
    <w:name w:val="МРСК_таблица_текст"/>
    <w:basedOn w:val="833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40">
    <w:name w:val="Header"/>
    <w:basedOn w:val="833"/>
    <w:link w:val="10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1" w:customStyle="1">
    <w:name w:val="Верхний колонтитул Знак"/>
    <w:basedOn w:val="843"/>
    <w:link w:val="1040"/>
    <w:uiPriority w:val="99"/>
  </w:style>
  <w:style w:type="paragraph" w:styleId="1042">
    <w:name w:val="Footer"/>
    <w:basedOn w:val="833"/>
    <w:link w:val="10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3" w:customStyle="1">
    <w:name w:val="Нижний колонтитул Знак"/>
    <w:basedOn w:val="843"/>
    <w:link w:val="1042"/>
    <w:uiPriority w:val="99"/>
  </w:style>
  <w:style w:type="character" w:styleId="1044" w:customStyle="1">
    <w:name w:val="apple-converted-space"/>
    <w:basedOn w:val="843"/>
  </w:style>
  <w:style w:type="paragraph" w:styleId="1045">
    <w:name w:val="Normal (Web)"/>
    <w:basedOn w:val="83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46">
    <w:name w:val="Table Grid"/>
    <w:basedOn w:val="84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7">
    <w:name w:val="List Paragraph"/>
    <w:basedOn w:val="833"/>
    <w:qFormat/>
    <w:pPr>
      <w:contextualSpacing/>
      <w:ind w:left="720"/>
    </w:pPr>
  </w:style>
  <w:style w:type="paragraph" w:styleId="1048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49" w:customStyle="1">
    <w:name w:val="Font Style14"/>
    <w:basedOn w:val="843"/>
    <w:uiPriority w:val="99"/>
    <w:rPr>
      <w:rFonts w:ascii="Arial" w:hAnsi="Arial" w:cs="Arial"/>
      <w:b/>
      <w:bCs/>
      <w:sz w:val="18"/>
      <w:szCs w:val="18"/>
    </w:rPr>
  </w:style>
  <w:style w:type="character" w:styleId="1050" w:customStyle="1">
    <w:name w:val="js-phone-number"/>
    <w:basedOn w:val="843"/>
  </w:style>
  <w:style w:type="paragraph" w:styleId="1051">
    <w:name w:val="Balloon Text"/>
    <w:basedOn w:val="833"/>
    <w:link w:val="105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52" w:customStyle="1">
    <w:name w:val="Текст выноски Знак"/>
    <w:basedOn w:val="843"/>
    <w:link w:val="1051"/>
    <w:uiPriority w:val="99"/>
    <w:semiHidden/>
    <w:rPr>
      <w:rFonts w:ascii="Tahoma" w:hAnsi="Tahoma" w:cs="Tahoma"/>
      <w:sz w:val="16"/>
      <w:szCs w:val="16"/>
    </w:rPr>
  </w:style>
  <w:style w:type="numbering" w:styleId="1053" w:customStyle="1">
    <w:name w:val="Нет списка1"/>
    <w:next w:val="845"/>
    <w:uiPriority w:val="99"/>
    <w:semiHidden/>
    <w:unhideWhenUsed/>
  </w:style>
  <w:style w:type="numbering" w:styleId="1054" w:customStyle="1">
    <w:name w:val="Нет списка2"/>
    <w:next w:val="845"/>
    <w:uiPriority w:val="99"/>
    <w:semiHidden/>
    <w:unhideWhenUsed/>
  </w:style>
  <w:style w:type="numbering" w:styleId="1055" w:customStyle="1">
    <w:name w:val="Нет списка11"/>
    <w:next w:val="845"/>
    <w:uiPriority w:val="99"/>
    <w:semiHidden/>
    <w:unhideWhenUsed/>
  </w:style>
  <w:style w:type="character" w:styleId="1056" w:customStyle="1">
    <w:name w:val="property_name"/>
    <w:basedOn w:val="843"/>
  </w:style>
  <w:style w:type="character" w:styleId="1057" w:customStyle="1">
    <w:name w:val="n-product-spec__name-inner"/>
    <w:basedOn w:val="843"/>
  </w:style>
  <w:style w:type="character" w:styleId="1058">
    <w:name w:val="Strong"/>
    <w:basedOn w:val="843"/>
    <w:uiPriority w:val="22"/>
    <w:qFormat/>
    <w:rPr>
      <w:b/>
      <w:bCs/>
    </w:rPr>
  </w:style>
  <w:style w:type="character" w:styleId="1059" w:customStyle="1">
    <w:name w:val="Основной текст (2)_"/>
    <w:basedOn w:val="84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60" w:customStyle="1">
    <w:name w:val="Основной текст (2)"/>
    <w:basedOn w:val="105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61" w:customStyle="1">
    <w:name w:val="Основной текст (2) + Полужирный"/>
    <w:basedOn w:val="1059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62" w:customStyle="1">
    <w:name w:val="Основной текст (2) + Arial Narrow;9;5 pt"/>
    <w:basedOn w:val="1059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63" w:customStyle="1">
    <w:name w:val="Основной текст (2) + Arial Narrow;15 pt"/>
    <w:basedOn w:val="1059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64">
    <w:name w:val="endnote text"/>
    <w:basedOn w:val="833"/>
    <w:link w:val="106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65" w:customStyle="1">
    <w:name w:val="Текст концевой сноски Знак"/>
    <w:basedOn w:val="843"/>
    <w:link w:val="1064"/>
    <w:uiPriority w:val="99"/>
    <w:semiHidden/>
    <w:rPr>
      <w:sz w:val="20"/>
      <w:szCs w:val="20"/>
    </w:rPr>
  </w:style>
  <w:style w:type="character" w:styleId="1066">
    <w:name w:val="endnote reference"/>
    <w:basedOn w:val="843"/>
    <w:uiPriority w:val="99"/>
    <w:semiHidden/>
    <w:unhideWhenUsed/>
    <w:rPr>
      <w:vertAlign w:val="superscript"/>
    </w:rPr>
  </w:style>
  <w:style w:type="numbering" w:styleId="1067" w:customStyle="1">
    <w:name w:val="Нет списка3"/>
    <w:next w:val="845"/>
    <w:uiPriority w:val="99"/>
    <w:semiHidden/>
    <w:unhideWhenUsed/>
  </w:style>
  <w:style w:type="table" w:styleId="1068" w:customStyle="1">
    <w:name w:val="Сетка таблицы1"/>
    <w:basedOn w:val="844"/>
    <w:next w:val="1046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69" w:customStyle="1">
    <w:name w:val="Абзац списка1"/>
    <w:basedOn w:val="833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70" w:customStyle="1">
    <w:name w:val="Стиль3"/>
    <w:basedOn w:val="833"/>
    <w:link w:val="1071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1071" w:customStyle="1">
    <w:name w:val="Стиль3 Знак"/>
    <w:link w:val="1070"/>
    <w:rPr>
      <w:rFonts w:ascii="Arial" w:hAnsi="Arial" w:eastAsia="Times New Roman" w:cs="Times New Roman"/>
    </w:rPr>
  </w:style>
  <w:style w:type="character" w:styleId="1072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1073">
    <w:name w:val="annotation reference"/>
    <w:uiPriority w:val="99"/>
    <w:semiHidden/>
    <w:unhideWhenUsed/>
    <w:rPr>
      <w:sz w:val="16"/>
      <w:szCs w:val="16"/>
    </w:rPr>
  </w:style>
  <w:style w:type="paragraph" w:styleId="1074">
    <w:name w:val="annotation text"/>
    <w:basedOn w:val="833"/>
    <w:link w:val="1075"/>
    <w:uiPriority w:val="99"/>
    <w:semiHidden/>
    <w:unhideWhenUsed/>
    <w:rPr>
      <w:rFonts w:ascii="Calibri" w:hAnsi="Calibri" w:eastAsia="Calibri" w:cs="Times New Roman"/>
      <w:sz w:val="20"/>
      <w:szCs w:val="20"/>
      <w:lang w:eastAsia="en-US"/>
    </w:rPr>
  </w:style>
  <w:style w:type="character" w:styleId="1075" w:customStyle="1">
    <w:name w:val="Текст примечания Знак"/>
    <w:basedOn w:val="843"/>
    <w:link w:val="1074"/>
    <w:uiPriority w:val="99"/>
    <w:semiHidden/>
    <w:rPr>
      <w:rFonts w:ascii="Calibri" w:hAnsi="Calibri" w:eastAsia="Calibri" w:cs="Times New Roman"/>
      <w:sz w:val="20"/>
      <w:szCs w:val="20"/>
      <w:lang w:eastAsia="en-US"/>
    </w:rPr>
  </w:style>
  <w:style w:type="paragraph" w:styleId="1076">
    <w:name w:val="annotation subject"/>
    <w:basedOn w:val="1074"/>
    <w:next w:val="1074"/>
    <w:link w:val="1077"/>
    <w:uiPriority w:val="99"/>
    <w:semiHidden/>
    <w:unhideWhenUsed/>
    <w:rPr>
      <w:b/>
      <w:bCs/>
    </w:rPr>
  </w:style>
  <w:style w:type="character" w:styleId="1077" w:customStyle="1">
    <w:name w:val="Тема примечания Знак"/>
    <w:basedOn w:val="1075"/>
    <w:link w:val="1076"/>
    <w:uiPriority w:val="99"/>
    <w:semiHidden/>
    <w:rPr>
      <w:rFonts w:ascii="Calibri" w:hAnsi="Calibri" w:eastAsia="Calibri" w:cs="Times New Roman"/>
      <w:b/>
      <w:bCs/>
      <w:sz w:val="20"/>
      <w:szCs w:val="20"/>
      <w:lang w:eastAsia="en-US"/>
    </w:rPr>
  </w:style>
  <w:style w:type="paragraph" w:styleId="1078">
    <w:name w:val="Plain Text"/>
    <w:basedOn w:val="833"/>
    <w:link w:val="1079"/>
    <w:uiPriority w:val="99"/>
    <w:unhideWhenUsed/>
    <w:pPr>
      <w:spacing w:after="0" w:line="240" w:lineRule="auto"/>
    </w:pPr>
    <w:rPr>
      <w:rFonts w:ascii="Calibri" w:hAnsi="Calibri" w:eastAsia="Times New Roman" w:cs="Times New Roman"/>
      <w:szCs w:val="21"/>
      <w:lang w:eastAsia="en-US"/>
    </w:rPr>
  </w:style>
  <w:style w:type="character" w:styleId="1079" w:customStyle="1">
    <w:name w:val="Текст Знак"/>
    <w:basedOn w:val="843"/>
    <w:link w:val="1078"/>
    <w:uiPriority w:val="99"/>
    <w:rPr>
      <w:rFonts w:ascii="Calibri" w:hAnsi="Calibri" w:eastAsia="Times New Roman" w:cs="Times New Roman"/>
      <w:szCs w:val="21"/>
      <w:lang w:eastAsia="en-US"/>
    </w:rPr>
  </w:style>
  <w:style w:type="paragraph" w:styleId="1080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1081" w:customStyle="1">
    <w:name w:val="Абзац списка2"/>
    <w:basedOn w:val="833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82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1083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1084" w:customStyle="1">
    <w:name w:val="formattext"/>
    <w:basedOn w:val="83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85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86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87" w:customStyle="1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6C378-A034-465C-BA29-79F4F471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KuznetsovaNA</cp:lastModifiedBy>
  <cp:revision>224</cp:revision>
  <dcterms:created xsi:type="dcterms:W3CDTF">2023-08-25T12:30:00Z</dcterms:created>
  <dcterms:modified xsi:type="dcterms:W3CDTF">2025-10-24T02:59:03Z</dcterms:modified>
</cp:coreProperties>
</file>